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8D9F9" w14:textId="4A7CEB7D" w:rsidR="003A1034" w:rsidRDefault="00DE362C" w:rsidP="00DE362C">
      <w:pPr>
        <w:jc w:val="center"/>
        <w:rPr>
          <w:rFonts w:ascii="Times New Roman" w:hAnsi="Times New Roman" w:cs="Times New Roman"/>
          <w:b/>
          <w:sz w:val="24"/>
        </w:rPr>
      </w:pPr>
      <w:r w:rsidRPr="00DE362C">
        <w:rPr>
          <w:rFonts w:ascii="Times New Roman" w:hAnsi="Times New Roman" w:cs="Times New Roman"/>
          <w:b/>
          <w:sz w:val="24"/>
        </w:rPr>
        <w:t>Crédit bancaire et croissance économique dans les pays de l’</w:t>
      </w:r>
      <w:r>
        <w:rPr>
          <w:rFonts w:ascii="Times New Roman" w:hAnsi="Times New Roman" w:cs="Times New Roman"/>
          <w:b/>
          <w:sz w:val="24"/>
        </w:rPr>
        <w:t>u</w:t>
      </w:r>
      <w:r w:rsidRPr="00DE362C">
        <w:rPr>
          <w:rFonts w:ascii="Times New Roman" w:hAnsi="Times New Roman" w:cs="Times New Roman"/>
          <w:b/>
          <w:sz w:val="24"/>
        </w:rPr>
        <w:t>nion économique et monétaire ouest-africaine : une évaluation des effets de seuil</w:t>
      </w:r>
    </w:p>
    <w:p w14:paraId="68D48922" w14:textId="513971DA" w:rsidR="00DE362C" w:rsidRPr="00E61B0A" w:rsidRDefault="003847F0" w:rsidP="009C19D2">
      <w:pPr>
        <w:jc w:val="center"/>
        <w:rPr>
          <w:rFonts w:ascii="Times New Roman" w:hAnsi="Times New Roman" w:cs="Times New Roman"/>
          <w:b/>
          <w:sz w:val="24"/>
          <w:lang w:val="en-US"/>
        </w:rPr>
      </w:pPr>
      <w:r w:rsidRPr="00E61B0A">
        <w:rPr>
          <w:rFonts w:ascii="Times New Roman" w:hAnsi="Times New Roman" w:cs="Times New Roman"/>
          <w:b/>
          <w:sz w:val="24"/>
          <w:lang w:val="en-US"/>
        </w:rPr>
        <w:t>Bank credit and economic growth in the countries of the West African Economic and Monetary Union: an assessment of threshold effects</w:t>
      </w:r>
    </w:p>
    <w:p w14:paraId="712B8039" w14:textId="3BC2F499" w:rsidR="003A1034" w:rsidRDefault="00F93D0E">
      <w:pPr>
        <w:spacing w:line="240" w:lineRule="auto"/>
        <w:jc w:val="both"/>
        <w:rPr>
          <w:rFonts w:ascii="Times New Roman" w:hAnsi="Times New Roman" w:cs="Times New Roman"/>
          <w:sz w:val="24"/>
        </w:rPr>
      </w:pPr>
      <w:r>
        <w:rPr>
          <w:rFonts w:ascii="Times New Roman" w:hAnsi="Times New Roman" w:cs="Times New Roman"/>
          <w:b/>
        </w:rPr>
        <w:t>Résumé </w:t>
      </w:r>
      <w:r>
        <w:rPr>
          <w:rFonts w:ascii="Times New Roman" w:hAnsi="Times New Roman" w:cs="Times New Roman"/>
        </w:rPr>
        <w:t xml:space="preserve">: </w:t>
      </w:r>
      <w:r>
        <w:rPr>
          <w:rFonts w:ascii="Times New Roman" w:hAnsi="Times New Roman" w:cs="Times New Roman"/>
          <w:sz w:val="24"/>
          <w:szCs w:val="24"/>
        </w:rPr>
        <w:t xml:space="preserve">La finance </w:t>
      </w:r>
      <w:r w:rsidR="004072AD">
        <w:rPr>
          <w:rFonts w:ascii="Times New Roman" w:hAnsi="Times New Roman" w:cs="Times New Roman"/>
          <w:sz w:val="24"/>
          <w:szCs w:val="24"/>
        </w:rPr>
        <w:t xml:space="preserve">constitue </w:t>
      </w:r>
      <w:r>
        <w:rPr>
          <w:rFonts w:ascii="Times New Roman" w:hAnsi="Times New Roman" w:cs="Times New Roman"/>
          <w:sz w:val="24"/>
          <w:szCs w:val="24"/>
        </w:rPr>
        <w:t xml:space="preserve">un rouage essentiel des économies modernes, mais </w:t>
      </w:r>
      <w:r w:rsidR="004072AD">
        <w:rPr>
          <w:rFonts w:ascii="Times New Roman" w:hAnsi="Times New Roman" w:cs="Times New Roman"/>
          <w:sz w:val="24"/>
          <w:szCs w:val="24"/>
        </w:rPr>
        <w:t xml:space="preserve">un excès </w:t>
      </w:r>
      <w:r>
        <w:rPr>
          <w:rFonts w:ascii="Times New Roman" w:hAnsi="Times New Roman" w:cs="Times New Roman"/>
          <w:sz w:val="24"/>
          <w:szCs w:val="24"/>
        </w:rPr>
        <w:t xml:space="preserve">de finance peut freiner la croissance </w:t>
      </w:r>
      <w:r>
        <w:rPr>
          <w:rFonts w:ascii="Times New Roman" w:hAnsi="Times New Roman" w:cs="Times New Roman"/>
          <w:color w:val="000000" w:themeColor="text1"/>
          <w:sz w:val="24"/>
        </w:rPr>
        <w:t>économique</w:t>
      </w:r>
      <w:r>
        <w:rPr>
          <w:rFonts w:ascii="Times New Roman" w:hAnsi="Times New Roman" w:cs="Times New Roman"/>
          <w:sz w:val="24"/>
          <w:szCs w:val="24"/>
        </w:rPr>
        <w:t>.</w:t>
      </w:r>
      <w:r>
        <w:rPr>
          <w:rFonts w:ascii="Times New Roman" w:hAnsi="Times New Roman" w:cs="Times New Roman"/>
        </w:rPr>
        <w:t xml:space="preserve"> </w:t>
      </w:r>
      <w:r>
        <w:rPr>
          <w:rFonts w:ascii="Times New Roman" w:hAnsi="Times New Roman" w:cs="Times New Roman"/>
          <w:sz w:val="24"/>
        </w:rPr>
        <w:t xml:space="preserve">Cet article a </w:t>
      </w:r>
      <w:r w:rsidR="00E102DE">
        <w:rPr>
          <w:rFonts w:ascii="Times New Roman" w:hAnsi="Times New Roman" w:cs="Times New Roman"/>
          <w:sz w:val="24"/>
        </w:rPr>
        <w:t xml:space="preserve">analysé </w:t>
      </w:r>
      <w:r>
        <w:rPr>
          <w:rFonts w:ascii="Times New Roman" w:hAnsi="Times New Roman" w:cs="Times New Roman"/>
          <w:sz w:val="24"/>
        </w:rPr>
        <w:t xml:space="preserve">la linéarité ou non de la relation entre le développement financier et la croissance économique dans les six pays de l'Union Économique et Monétaire Ouest Africaine (UEMOA), confirmant les </w:t>
      </w:r>
      <w:r w:rsidR="00E102DE">
        <w:rPr>
          <w:rFonts w:ascii="Times New Roman" w:hAnsi="Times New Roman" w:cs="Times New Roman"/>
          <w:sz w:val="24"/>
        </w:rPr>
        <w:t xml:space="preserve">conclusions </w:t>
      </w:r>
      <w:r>
        <w:rPr>
          <w:rFonts w:ascii="Times New Roman" w:hAnsi="Times New Roman" w:cs="Times New Roman"/>
          <w:sz w:val="24"/>
        </w:rPr>
        <w:t xml:space="preserve">de Cecchetti et </w:t>
      </w:r>
      <w:proofErr w:type="spellStart"/>
      <w:r>
        <w:rPr>
          <w:rFonts w:ascii="Times New Roman" w:hAnsi="Times New Roman" w:cs="Times New Roman"/>
          <w:sz w:val="24"/>
        </w:rPr>
        <w:t>Kharroubi</w:t>
      </w:r>
      <w:proofErr w:type="spellEnd"/>
      <w:r>
        <w:rPr>
          <w:rFonts w:ascii="Times New Roman" w:hAnsi="Times New Roman" w:cs="Times New Roman"/>
          <w:sz w:val="24"/>
        </w:rPr>
        <w:t xml:space="preserve"> (2012) </w:t>
      </w:r>
      <w:r w:rsidR="00E102DE">
        <w:rPr>
          <w:rFonts w:ascii="Times New Roman" w:hAnsi="Times New Roman" w:cs="Times New Roman"/>
          <w:sz w:val="24"/>
        </w:rPr>
        <w:t>selon lesquelles</w:t>
      </w:r>
      <w:r>
        <w:rPr>
          <w:rFonts w:ascii="Times New Roman" w:hAnsi="Times New Roman" w:cs="Times New Roman"/>
          <w:sz w:val="24"/>
        </w:rPr>
        <w:t xml:space="preserve"> un excès de crédit par rapport au PIB nuit à la croissance. Un seuil de développement financier, estimé à 38,78%, est identifié au-delà duquel l'effet positif de la finance sur la croissance disparaît. Les résultats de l'analyse empirique, fondée sur la </w:t>
      </w:r>
      <w:r w:rsidR="00021990">
        <w:rPr>
          <w:rFonts w:ascii="Times New Roman" w:hAnsi="Times New Roman" w:cs="Times New Roman"/>
          <w:sz w:val="24"/>
        </w:rPr>
        <w:t>m</w:t>
      </w:r>
      <w:r>
        <w:rPr>
          <w:rFonts w:ascii="Times New Roman" w:hAnsi="Times New Roman" w:cs="Times New Roman"/>
          <w:sz w:val="24"/>
        </w:rPr>
        <w:t xml:space="preserve">éthode des moments généralisés (GMM), soulignent l'importance d'un développement financier équilibré. Pour maximiser les bénéfices du développement financier, il est essentiel d'améliorer l'accès aux services financiers et de promouvoir la concurrence dans le secteur bancaire. Les décideurs doivent également être attentifs aux risques d'instabilité financière, qui peuvent surgir d'une expansion excessive de la monnaie et du crédit, ainsi que du non-respect de la réglementation bancaire. Il est recommandé de renforcer les mécanismes de surveillance micro et macroprudentielle. </w:t>
      </w:r>
    </w:p>
    <w:p w14:paraId="2CE30B36" w14:textId="77777777" w:rsidR="003A1034" w:rsidRDefault="00F93D0E">
      <w:pPr>
        <w:spacing w:line="360" w:lineRule="auto"/>
        <w:jc w:val="both"/>
        <w:rPr>
          <w:rFonts w:ascii="Times New Roman" w:hAnsi="Times New Roman" w:cs="Times New Roman"/>
          <w:b/>
        </w:rPr>
      </w:pPr>
      <w:r>
        <w:rPr>
          <w:rFonts w:ascii="Times New Roman" w:hAnsi="Times New Roman" w:cs="Times New Roman"/>
          <w:b/>
        </w:rPr>
        <w:t xml:space="preserve">Mots clés : </w:t>
      </w:r>
      <w:r>
        <w:rPr>
          <w:rFonts w:ascii="Times New Roman" w:hAnsi="Times New Roman" w:cs="Times New Roman"/>
        </w:rPr>
        <w:t>développement financier, croissance économique, GMM, UEMOA</w:t>
      </w:r>
    </w:p>
    <w:p w14:paraId="1D31DDE0" w14:textId="77777777" w:rsidR="003A1034" w:rsidRDefault="00F93D0E">
      <w:pPr>
        <w:spacing w:line="360" w:lineRule="auto"/>
        <w:jc w:val="both"/>
        <w:rPr>
          <w:rFonts w:ascii="Times New Roman" w:hAnsi="Times New Roman" w:cs="Times New Roman"/>
          <w:b/>
          <w:lang w:val="en-US"/>
        </w:rPr>
      </w:pPr>
      <w:r>
        <w:rPr>
          <w:rFonts w:ascii="Times New Roman" w:hAnsi="Times New Roman" w:cs="Times New Roman"/>
          <w:b/>
          <w:lang w:val="en-US"/>
        </w:rPr>
        <w:t>Abstract:</w:t>
      </w:r>
    </w:p>
    <w:p w14:paraId="1D19AA40" w14:textId="77777777" w:rsidR="003A1034" w:rsidRDefault="00F93D0E">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Finance is a vital part of modern economies, but too much finance can hamper economic growth. This paper examined the nonlinear relationship between financial development and economic growth in the six countries of the West African Economic and Monetary Union (WAEMU), confirming the results of </w:t>
      </w:r>
      <w:proofErr w:type="spellStart"/>
      <w:r>
        <w:rPr>
          <w:rFonts w:ascii="Times New Roman" w:hAnsi="Times New Roman" w:cs="Times New Roman"/>
          <w:sz w:val="24"/>
          <w:lang w:val="en-US"/>
        </w:rPr>
        <w:t>Cecchetti</w:t>
      </w:r>
      <w:proofErr w:type="spellEnd"/>
      <w:r>
        <w:rPr>
          <w:rFonts w:ascii="Times New Roman" w:hAnsi="Times New Roman" w:cs="Times New Roman"/>
          <w:sz w:val="24"/>
          <w:lang w:val="en-US"/>
        </w:rPr>
        <w:t xml:space="preserve"> and </w:t>
      </w:r>
      <w:proofErr w:type="spellStart"/>
      <w:r>
        <w:rPr>
          <w:rFonts w:ascii="Times New Roman" w:hAnsi="Times New Roman" w:cs="Times New Roman"/>
          <w:sz w:val="24"/>
          <w:lang w:val="en-US"/>
        </w:rPr>
        <w:t>Kharroubi</w:t>
      </w:r>
      <w:proofErr w:type="spellEnd"/>
      <w:r>
        <w:rPr>
          <w:rFonts w:ascii="Times New Roman" w:hAnsi="Times New Roman" w:cs="Times New Roman"/>
          <w:sz w:val="24"/>
          <w:lang w:val="en-US"/>
        </w:rPr>
        <w:t xml:space="preserve"> (2012) who suggest that excess credit relative</w:t>
      </w:r>
      <w:r>
        <w:rPr>
          <w:rFonts w:ascii="Times New Roman" w:hAnsi="Times New Roman" w:cs="Times New Roman"/>
          <w:b/>
          <w:lang w:val="en-US"/>
        </w:rPr>
        <w:t xml:space="preserve"> </w:t>
      </w:r>
      <w:r>
        <w:rPr>
          <w:rFonts w:ascii="Times New Roman" w:hAnsi="Times New Roman" w:cs="Times New Roman"/>
          <w:sz w:val="24"/>
          <w:lang w:val="en-US"/>
        </w:rPr>
        <w:t>to GDP is detrimental to growth. A threshold of financial development, estimated at 38.78%, is identified beyond which the positive effect of finance on growth disappears. The results of the empirical analysis, based on the generalized method of moments (GMM), highlight the importance of balanced financial development. To maximize the benefits of financial development, it is essential to improve access to financial services and promote competition in the banking sector. Policymakers should also be attentive to the risks of financial instability, which can arise from excessive expansion of money and credit, as well as non-compliance with banking regulations. It is recommended to strengthen micro and macroprudential surveillance mechanisms.</w:t>
      </w:r>
    </w:p>
    <w:p w14:paraId="7CA524D9" w14:textId="376E1371" w:rsidR="003A1034" w:rsidRDefault="00F93D0E">
      <w:pPr>
        <w:spacing w:line="360" w:lineRule="auto"/>
        <w:jc w:val="both"/>
        <w:rPr>
          <w:rFonts w:ascii="Times New Roman" w:hAnsi="Times New Roman" w:cs="Times New Roman"/>
          <w:sz w:val="24"/>
          <w:lang w:val="en-US"/>
        </w:rPr>
      </w:pPr>
      <w:r>
        <w:rPr>
          <w:rFonts w:ascii="Times New Roman" w:hAnsi="Times New Roman" w:cs="Times New Roman"/>
          <w:b/>
          <w:sz w:val="24"/>
          <w:lang w:val="en-US"/>
        </w:rPr>
        <w:t>Key words:</w:t>
      </w:r>
      <w:r>
        <w:rPr>
          <w:rFonts w:ascii="Times New Roman" w:hAnsi="Times New Roman" w:cs="Times New Roman"/>
          <w:sz w:val="24"/>
          <w:lang w:val="en-US"/>
        </w:rPr>
        <w:t xml:space="preserve"> financial development, economic growth, GMM, UEMOA</w:t>
      </w:r>
    </w:p>
    <w:p w14:paraId="14ECB4EA" w14:textId="57E526D6" w:rsidR="00F93D0E" w:rsidRDefault="00F93D0E">
      <w:pPr>
        <w:spacing w:line="360" w:lineRule="auto"/>
        <w:jc w:val="both"/>
        <w:rPr>
          <w:rFonts w:ascii="Times New Roman" w:hAnsi="Times New Roman" w:cs="Times New Roman"/>
          <w:sz w:val="24"/>
          <w:lang w:val="en-US"/>
        </w:rPr>
      </w:pPr>
    </w:p>
    <w:p w14:paraId="0D0FB191" w14:textId="2E1BC8A4" w:rsidR="00F93D0E" w:rsidRDefault="00F93D0E">
      <w:pPr>
        <w:spacing w:line="360" w:lineRule="auto"/>
        <w:jc w:val="both"/>
        <w:rPr>
          <w:rFonts w:ascii="Times New Roman" w:hAnsi="Times New Roman" w:cs="Times New Roman"/>
          <w:sz w:val="24"/>
          <w:lang w:val="en-US"/>
        </w:rPr>
      </w:pPr>
    </w:p>
    <w:p w14:paraId="7AED018F" w14:textId="7161BDD0" w:rsidR="00F93D0E" w:rsidRDefault="00F93D0E">
      <w:pPr>
        <w:spacing w:line="360" w:lineRule="auto"/>
        <w:jc w:val="both"/>
        <w:rPr>
          <w:rFonts w:ascii="Times New Roman" w:hAnsi="Times New Roman" w:cs="Times New Roman"/>
          <w:sz w:val="24"/>
          <w:lang w:val="en-US"/>
        </w:rPr>
      </w:pPr>
    </w:p>
    <w:p w14:paraId="4DBBBFEF" w14:textId="77777777" w:rsidR="00F93D0E" w:rsidRDefault="00F93D0E">
      <w:pPr>
        <w:spacing w:line="360" w:lineRule="auto"/>
        <w:jc w:val="both"/>
        <w:rPr>
          <w:rFonts w:ascii="Times New Roman" w:hAnsi="Times New Roman" w:cs="Times New Roman"/>
          <w:sz w:val="24"/>
          <w:lang w:val="en-US"/>
        </w:rPr>
      </w:pPr>
    </w:p>
    <w:p w14:paraId="3B20BFFE" w14:textId="058D1290" w:rsidR="00595A02" w:rsidRPr="00E61B0A" w:rsidRDefault="00F93D0E">
      <w:pPr>
        <w:pStyle w:val="NormalWeb"/>
        <w:spacing w:line="276" w:lineRule="auto"/>
        <w:jc w:val="both"/>
        <w:rPr>
          <w:b/>
          <w:color w:val="000000" w:themeColor="text1"/>
        </w:rPr>
      </w:pPr>
      <w:r w:rsidRPr="00E61B0A">
        <w:rPr>
          <w:b/>
          <w:color w:val="000000" w:themeColor="text1"/>
        </w:rPr>
        <w:lastRenderedPageBreak/>
        <w:t xml:space="preserve">Introduction </w:t>
      </w:r>
    </w:p>
    <w:p w14:paraId="124CE5AF" w14:textId="77777777" w:rsidR="00595A02" w:rsidRDefault="00595A02" w:rsidP="00595A0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DA287C">
        <w:rPr>
          <w:rFonts w:ascii="Times New Roman" w:eastAsia="Times New Roman" w:hAnsi="Times New Roman" w:cs="Times New Roman"/>
          <w:sz w:val="24"/>
          <w:szCs w:val="24"/>
          <w:lang w:eastAsia="fr-FR"/>
        </w:rPr>
        <w:t>La relation entre le développement financier et la croissance économique a longtemps été au centre des discussions académiques et politiques. Des études pionnières ont démontré que l'expansion des services financiers joue un rôle crucial dans l'accélération de la croissance économique, facilitant l'accès au crédit pour les entreprises et les ménages (</w:t>
      </w:r>
      <w:proofErr w:type="spellStart"/>
      <w:r w:rsidRPr="00DA287C">
        <w:rPr>
          <w:rFonts w:ascii="Times New Roman" w:eastAsia="Times New Roman" w:hAnsi="Times New Roman" w:cs="Times New Roman"/>
          <w:sz w:val="24"/>
          <w:szCs w:val="24"/>
          <w:lang w:eastAsia="fr-FR"/>
        </w:rPr>
        <w:t>McKinon</w:t>
      </w:r>
      <w:proofErr w:type="spellEnd"/>
      <w:r w:rsidRPr="00DA287C">
        <w:rPr>
          <w:rFonts w:ascii="Times New Roman" w:eastAsia="Times New Roman" w:hAnsi="Times New Roman" w:cs="Times New Roman"/>
          <w:sz w:val="24"/>
          <w:szCs w:val="24"/>
          <w:lang w:eastAsia="fr-FR"/>
        </w:rPr>
        <w:t xml:space="preserve">, 1973 ; Shaw, 1973). Cependant, cette dynamique semble revêtir une complexité croissante avec le temps. À la fin du XXe siècle, des chercheurs tels que Lucas (1988) et Rati (1999) </w:t>
      </w:r>
      <w:r w:rsidRPr="00F5771C">
        <w:rPr>
          <w:rFonts w:ascii="Times New Roman" w:eastAsia="Times New Roman" w:hAnsi="Times New Roman" w:cs="Times New Roman"/>
          <w:sz w:val="24"/>
          <w:szCs w:val="24"/>
          <w:lang w:eastAsia="fr-FR"/>
        </w:rPr>
        <w:t xml:space="preserve">ont mis en relief le caractère ambigu de la relation entre la finance et le développement économique en avançant l’idée et l’évidence d’un point à partir duquel la relation évoquée atteint un maximum, puis se retourne. </w:t>
      </w:r>
    </w:p>
    <w:p w14:paraId="2B1422C6" w14:textId="256564FA" w:rsidR="00595A02" w:rsidRDefault="00595A02" w:rsidP="00595A02">
      <w:pPr>
        <w:spacing w:before="100" w:beforeAutospacing="1" w:after="100" w:afterAutospacing="1" w:line="240" w:lineRule="auto"/>
        <w:jc w:val="both"/>
        <w:rPr>
          <w:rFonts w:ascii="Times New Roman" w:eastAsia="Times New Roman" w:hAnsi="Times New Roman" w:cs="Times New Roman"/>
          <w:sz w:val="24"/>
          <w:szCs w:val="24"/>
          <w:lang w:eastAsia="fr-FR"/>
        </w:rPr>
      </w:pPr>
      <w:r w:rsidRPr="00F5771C">
        <w:rPr>
          <w:rFonts w:ascii="Times New Roman" w:eastAsia="Times New Roman" w:hAnsi="Times New Roman" w:cs="Times New Roman"/>
          <w:sz w:val="24"/>
          <w:szCs w:val="24"/>
          <w:lang w:eastAsia="fr-FR"/>
        </w:rPr>
        <w:t xml:space="preserve">D’un point de vue empirique, les données récentes issues des pays de l’UEMOA et portant sur les taux du volume du crédit au secteur privé et du PIB supportent l’existence d’un effet </w:t>
      </w:r>
      <w:r w:rsidR="00524031">
        <w:rPr>
          <w:rFonts w:ascii="Times New Roman" w:eastAsia="Times New Roman" w:hAnsi="Times New Roman" w:cs="Times New Roman"/>
          <w:sz w:val="24"/>
          <w:szCs w:val="24"/>
          <w:lang w:eastAsia="fr-FR"/>
        </w:rPr>
        <w:t xml:space="preserve">de </w:t>
      </w:r>
      <w:r w:rsidRPr="00F5771C">
        <w:rPr>
          <w:rFonts w:ascii="Times New Roman" w:eastAsia="Times New Roman" w:hAnsi="Times New Roman" w:cs="Times New Roman"/>
          <w:sz w:val="24"/>
          <w:szCs w:val="24"/>
          <w:lang w:eastAsia="fr-FR"/>
        </w:rPr>
        <w:t xml:space="preserve">levier (ou d’un effet pro-croissance) du crédit bancaire sur la croissance économique. En effet, en 2022, le taux de croissance du PIB était de 5,5%, au moment où le crédit au secteur privé s’est accru au taux de 14,4%. En 2023, année où le taux de croissance du crédit était de 9,4%, le taux de croissance du PIB à son tour, </w:t>
      </w:r>
      <w:r w:rsidR="00524031">
        <w:rPr>
          <w:rFonts w:ascii="Times New Roman" w:eastAsia="Times New Roman" w:hAnsi="Times New Roman" w:cs="Times New Roman"/>
          <w:sz w:val="24"/>
          <w:szCs w:val="24"/>
          <w:lang w:eastAsia="fr-FR"/>
        </w:rPr>
        <w:t xml:space="preserve">a </w:t>
      </w:r>
      <w:r w:rsidRPr="00F5771C">
        <w:rPr>
          <w:rFonts w:ascii="Times New Roman" w:eastAsia="Times New Roman" w:hAnsi="Times New Roman" w:cs="Times New Roman"/>
          <w:sz w:val="24"/>
          <w:szCs w:val="24"/>
          <w:lang w:eastAsia="fr-FR"/>
        </w:rPr>
        <w:t>légèrement reculé.</w:t>
      </w:r>
      <w:r>
        <w:rPr>
          <w:rFonts w:ascii="Times New Roman" w:eastAsia="Times New Roman" w:hAnsi="Times New Roman" w:cs="Times New Roman"/>
          <w:sz w:val="24"/>
          <w:szCs w:val="24"/>
          <w:lang w:eastAsia="fr-FR"/>
        </w:rPr>
        <w:t xml:space="preserve"> </w:t>
      </w:r>
      <w:r w:rsidRPr="00F5771C">
        <w:rPr>
          <w:rFonts w:ascii="Times New Roman" w:eastAsia="Times New Roman" w:hAnsi="Times New Roman" w:cs="Times New Roman"/>
          <w:sz w:val="24"/>
          <w:szCs w:val="24"/>
          <w:lang w:eastAsia="fr-FR"/>
        </w:rPr>
        <w:t>Ces données et corrélations apparentes tendent à accréditer la thèse d’un effet pro-croissance de l’accroissement du financement du secteur privé par les banques. Elles conduisent également à se poser la question de savoir si le lien positif apparent entre crédit et croissance économique dans l’UEMOA est linéaire ou s</w:t>
      </w:r>
      <w:r w:rsidR="00FC6A36">
        <w:rPr>
          <w:rFonts w:ascii="Times New Roman" w:eastAsia="Times New Roman" w:hAnsi="Times New Roman" w:cs="Times New Roman"/>
          <w:sz w:val="24"/>
          <w:szCs w:val="24"/>
          <w:lang w:eastAsia="fr-FR"/>
        </w:rPr>
        <w:t>’il marque</w:t>
      </w:r>
      <w:r w:rsidRPr="00F5771C">
        <w:rPr>
          <w:rFonts w:ascii="Times New Roman" w:eastAsia="Times New Roman" w:hAnsi="Times New Roman" w:cs="Times New Roman"/>
          <w:sz w:val="24"/>
          <w:szCs w:val="24"/>
          <w:lang w:eastAsia="fr-FR"/>
        </w:rPr>
        <w:t xml:space="preserve"> par endroit une rupture, c’est-à-dire, s</w:t>
      </w:r>
      <w:r w:rsidR="00FC6A36">
        <w:rPr>
          <w:rFonts w:ascii="Times New Roman" w:eastAsia="Times New Roman" w:hAnsi="Times New Roman" w:cs="Times New Roman"/>
          <w:sz w:val="24"/>
          <w:szCs w:val="24"/>
          <w:lang w:eastAsia="fr-FR"/>
        </w:rPr>
        <w:t xml:space="preserve">’il </w:t>
      </w:r>
      <w:r w:rsidRPr="00F5771C">
        <w:rPr>
          <w:rFonts w:ascii="Times New Roman" w:eastAsia="Times New Roman" w:hAnsi="Times New Roman" w:cs="Times New Roman"/>
          <w:sz w:val="24"/>
          <w:szCs w:val="24"/>
          <w:lang w:eastAsia="fr-FR"/>
        </w:rPr>
        <w:t xml:space="preserve">comporte un seuil ou une extrémité à partir de laquelle, le sens de la relation s’inverse. </w:t>
      </w:r>
    </w:p>
    <w:p w14:paraId="3E86C23F" w14:textId="412E5910" w:rsidR="00595A02" w:rsidRDefault="00595A02" w:rsidP="00595A02">
      <w:pPr>
        <w:spacing w:line="240" w:lineRule="auto"/>
        <w:jc w:val="both"/>
        <w:rPr>
          <w:rFonts w:ascii="Times New Roman" w:hAnsi="Times New Roman" w:cs="Times New Roman"/>
          <w:sz w:val="24"/>
        </w:rPr>
      </w:pPr>
      <w:r>
        <w:rPr>
          <w:rFonts w:ascii="Times New Roman" w:hAnsi="Times New Roman" w:cs="Times New Roman"/>
          <w:sz w:val="24"/>
        </w:rPr>
        <w:t xml:space="preserve">A la lumière de ce questionnement, l’objectif de cet article est de déterminer la nature de la relation qui existe entre la finance et la croissance économique au sein des pays de l’UEMOA. En testant la présence des effets de seuil, cette analyse montre qu’il existe un optimum à partir duquel l’effet du développement financier sur la croissance devient négatif. </w:t>
      </w:r>
      <w:r>
        <w:rPr>
          <w:rFonts w:ascii="Times New Roman" w:hAnsi="Times New Roman" w:cs="Times New Roman"/>
          <w:color w:val="000000" w:themeColor="text1"/>
          <w:sz w:val="24"/>
        </w:rPr>
        <w:t xml:space="preserve">L’analyse soutient que le développement financier influence positivement la croissance. </w:t>
      </w:r>
      <w:r w:rsidR="00354ADE">
        <w:rPr>
          <w:rFonts w:ascii="Times New Roman" w:hAnsi="Times New Roman" w:cs="Times New Roman"/>
          <w:color w:val="000000" w:themeColor="text1"/>
          <w:sz w:val="24"/>
        </w:rPr>
        <w:t>Par ailleurs</w:t>
      </w:r>
      <w:r>
        <w:rPr>
          <w:rFonts w:ascii="Times New Roman" w:hAnsi="Times New Roman" w:cs="Times New Roman"/>
          <w:color w:val="000000" w:themeColor="text1"/>
          <w:sz w:val="24"/>
        </w:rPr>
        <w:t xml:space="preserve"> </w:t>
      </w:r>
      <w:r w:rsidR="00354ADE">
        <w:rPr>
          <w:rFonts w:ascii="Times New Roman" w:hAnsi="Times New Roman" w:cs="Times New Roman"/>
          <w:color w:val="000000" w:themeColor="text1"/>
          <w:sz w:val="24"/>
        </w:rPr>
        <w:t>l’</w:t>
      </w:r>
      <w:r>
        <w:rPr>
          <w:rFonts w:ascii="Times New Roman" w:hAnsi="Times New Roman" w:cs="Times New Roman"/>
          <w:color w:val="000000" w:themeColor="text1"/>
          <w:sz w:val="24"/>
        </w:rPr>
        <w:t>analyse suppose la présence d’effet de seuil dans la relation entre la finance et la croissance.</w:t>
      </w:r>
    </w:p>
    <w:p w14:paraId="52D6CD31" w14:textId="77777777" w:rsidR="00595A02" w:rsidRDefault="00595A02" w:rsidP="00595A02">
      <w:pPr>
        <w:spacing w:line="240" w:lineRule="auto"/>
        <w:jc w:val="both"/>
        <w:rPr>
          <w:rFonts w:ascii="Times New Roman" w:hAnsi="Times New Roman" w:cs="Times New Roman"/>
          <w:sz w:val="24"/>
        </w:rPr>
      </w:pPr>
      <w:r>
        <w:rPr>
          <w:rFonts w:ascii="Times New Roman" w:hAnsi="Times New Roman" w:cs="Times New Roman"/>
          <w:sz w:val="24"/>
        </w:rPr>
        <w:t>En utilisant la méthode des moments généralisés sur un échantillon de six (06) pays de l’espace UEMOA couvrant la période 1995-2020, l’étude montre une relation non linéaire (U renversé) entre le développement financier (le crédit bancaire au secteur privé sur le PIB) et la croissance économique.</w:t>
      </w:r>
    </w:p>
    <w:p w14:paraId="2E656359" w14:textId="72A9AA82" w:rsidR="00C75D22" w:rsidRPr="00EF0A2C" w:rsidRDefault="00595A02" w:rsidP="00890585">
      <w:pPr>
        <w:jc w:val="both"/>
        <w:rPr>
          <w:rFonts w:ascii="Times New Roman" w:hAnsi="Times New Roman" w:cs="Times New Roman"/>
          <w:color w:val="000000" w:themeColor="text1"/>
          <w:sz w:val="24"/>
          <w:szCs w:val="24"/>
        </w:rPr>
      </w:pPr>
      <w:r>
        <w:rPr>
          <w:rFonts w:ascii="Times New Roman" w:hAnsi="Times New Roman" w:cs="Times New Roman"/>
          <w:sz w:val="24"/>
        </w:rPr>
        <w:t xml:space="preserve">Le reste de l’article se subdivise comme suit : la première section </w:t>
      </w:r>
      <w:r w:rsidR="00354ADE">
        <w:rPr>
          <w:rFonts w:ascii="Times New Roman" w:hAnsi="Times New Roman" w:cs="Times New Roman"/>
          <w:sz w:val="24"/>
        </w:rPr>
        <w:t xml:space="preserve">propose </w:t>
      </w:r>
      <w:r>
        <w:rPr>
          <w:rFonts w:ascii="Times New Roman" w:hAnsi="Times New Roman" w:cs="Times New Roman"/>
          <w:sz w:val="24"/>
        </w:rPr>
        <w:t xml:space="preserve">un tour d’horizon théorique et empirique de la relation entre la finance et la croissance économique. </w:t>
      </w:r>
      <w:r>
        <w:rPr>
          <w:rFonts w:ascii="Times New Roman" w:hAnsi="Times New Roman" w:cs="Times New Roman"/>
          <w:color w:val="000000" w:themeColor="text1"/>
          <w:sz w:val="24"/>
          <w:szCs w:val="24"/>
        </w:rPr>
        <w:t xml:space="preserve">La deuxième section présente l’analyse empirique de ladite relation. </w:t>
      </w:r>
    </w:p>
    <w:p w14:paraId="2C17C04E" w14:textId="77777777" w:rsidR="003A1034" w:rsidRDefault="00F93D0E">
      <w:pPr>
        <w:pStyle w:val="NormalWeb"/>
        <w:numPr>
          <w:ilvl w:val="0"/>
          <w:numId w:val="1"/>
        </w:numPr>
        <w:spacing w:line="276" w:lineRule="auto"/>
        <w:jc w:val="both"/>
        <w:rPr>
          <w:color w:val="000000" w:themeColor="text1"/>
        </w:rPr>
      </w:pPr>
      <w:r>
        <w:rPr>
          <w:b/>
          <w:color w:val="000000" w:themeColor="text1"/>
        </w:rPr>
        <w:t xml:space="preserve">Tours d’horizon théorique et empirique </w:t>
      </w:r>
    </w:p>
    <w:p w14:paraId="26392C95" w14:textId="456A21B9" w:rsidR="003A1034" w:rsidRDefault="00F93D0E">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La relation entre la finance et la croissance </w:t>
      </w:r>
      <w:r>
        <w:rPr>
          <w:rFonts w:ascii="Times New Roman" w:hAnsi="Times New Roman" w:cs="Times New Roman"/>
          <w:color w:val="000000" w:themeColor="text1"/>
          <w:sz w:val="24"/>
        </w:rPr>
        <w:t>économique</w:t>
      </w:r>
      <w:r>
        <w:rPr>
          <w:rFonts w:ascii="Times New Roman" w:hAnsi="Times New Roman" w:cs="Times New Roman"/>
          <w:sz w:val="28"/>
          <w:szCs w:val="24"/>
        </w:rPr>
        <w:t xml:space="preserve"> </w:t>
      </w:r>
      <w:r>
        <w:rPr>
          <w:rFonts w:ascii="Times New Roman" w:hAnsi="Times New Roman" w:cs="Times New Roman"/>
          <w:color w:val="000000" w:themeColor="text1"/>
          <w:sz w:val="24"/>
          <w:szCs w:val="24"/>
        </w:rPr>
        <w:t xml:space="preserve">est ambiguë (Rati, 1999 ; Lucas, 1988). Lucas (1988) affirme que les économistes exagèrent sur le rôle des facteurs financiers dans la croissance économique. L’auteur </w:t>
      </w:r>
      <w:r>
        <w:rPr>
          <w:rFonts w:ascii="Times New Roman" w:hAnsi="Times New Roman" w:cs="Times New Roman"/>
          <w:color w:val="000000" w:themeColor="text1"/>
          <w:sz w:val="24"/>
        </w:rPr>
        <w:t>dénonce le rôle exagéré reconnu au système financier dans la croissance. Il prétend que celui-ci ne fait que suivre la croissance économique</w:t>
      </w:r>
      <w:r>
        <w:rPr>
          <w:rFonts w:ascii="Times New Roman" w:hAnsi="Times New Roman" w:cs="Times New Roman"/>
          <w:sz w:val="28"/>
          <w:szCs w:val="24"/>
        </w:rPr>
        <w:t xml:space="preserve"> </w:t>
      </w:r>
      <w:r>
        <w:rPr>
          <w:rFonts w:ascii="Times New Roman" w:hAnsi="Times New Roman" w:cs="Times New Roman"/>
          <w:color w:val="000000" w:themeColor="text1"/>
          <w:sz w:val="24"/>
        </w:rPr>
        <w:t>sans l’influencer.</w:t>
      </w:r>
      <w:r>
        <w:rPr>
          <w:rFonts w:ascii="Times New Roman" w:hAnsi="Times New Roman" w:cs="Times New Roman"/>
          <w:color w:val="000000" w:themeColor="text1"/>
          <w:sz w:val="28"/>
          <w:szCs w:val="24"/>
        </w:rPr>
        <w:t xml:space="preserve"> </w:t>
      </w:r>
      <w:r>
        <w:rPr>
          <w:rFonts w:ascii="Times New Roman" w:hAnsi="Times New Roman" w:cs="Times New Roman"/>
          <w:color w:val="000000" w:themeColor="text1"/>
          <w:sz w:val="24"/>
          <w:szCs w:val="24"/>
        </w:rPr>
        <w:t xml:space="preserve">Pour </w:t>
      </w:r>
      <w:r>
        <w:rPr>
          <w:rFonts w:ascii="Times New Roman" w:hAnsi="Times New Roman" w:cs="Times New Roman"/>
          <w:color w:val="222222"/>
          <w:sz w:val="24"/>
          <w:szCs w:val="24"/>
        </w:rPr>
        <w:t>Rati (1999)</w:t>
      </w:r>
      <w:r>
        <w:rPr>
          <w:rFonts w:ascii="Times New Roman" w:hAnsi="Times New Roman" w:cs="Times New Roman"/>
          <w:color w:val="000000" w:themeColor="text1"/>
          <w:sz w:val="24"/>
          <w:szCs w:val="24"/>
        </w:rPr>
        <w:t xml:space="preserve">, </w:t>
      </w:r>
      <w:r>
        <w:rPr>
          <w:rFonts w:ascii="Times New Roman" w:hAnsi="Times New Roman" w:cs="Times New Roman"/>
          <w:color w:val="222222"/>
          <w:sz w:val="24"/>
          <w:szCs w:val="24"/>
        </w:rPr>
        <w:t xml:space="preserve">les preuves empiriques ne soutiennent pas l'opinion selon laquelle le développement financier favorise la croissance économique. Sur un échantillon de 95 pays, l’auteur montre que la covariance est négative entre le développement financier et la croissance du PIB réel par habitant. Le lien entre la finance et la croissance économique est difficile à </w:t>
      </w:r>
      <w:r>
        <w:rPr>
          <w:rFonts w:ascii="Times New Roman" w:hAnsi="Times New Roman" w:cs="Times New Roman"/>
          <w:color w:val="222222"/>
          <w:sz w:val="24"/>
          <w:szCs w:val="24"/>
        </w:rPr>
        <w:lastRenderedPageBreak/>
        <w:t>quantifier ou à qualifier selon Boucher et al, (2012). Pour ces auteurs, le lien s’apprécie le plus souvent avec les indicateurs particuliers utilisés. Or ces indicateurs ne reflètent pas la réalité. Ils concluent donc que le lien entre les deux variables est inexistant car les indicateurs ne traduisent pas le comportement de</w:t>
      </w:r>
      <w:r w:rsidR="00A738FD">
        <w:rPr>
          <w:rFonts w:ascii="Times New Roman" w:hAnsi="Times New Roman" w:cs="Times New Roman"/>
          <w:color w:val="222222"/>
          <w:sz w:val="24"/>
          <w:szCs w:val="24"/>
        </w:rPr>
        <w:t xml:space="preserve">s </w:t>
      </w:r>
      <w:r>
        <w:rPr>
          <w:rFonts w:ascii="Times New Roman" w:hAnsi="Times New Roman" w:cs="Times New Roman"/>
          <w:color w:val="222222"/>
          <w:sz w:val="24"/>
          <w:szCs w:val="24"/>
        </w:rPr>
        <w:t>économies. Pour concilier ces groupes de pensées</w:t>
      </w:r>
      <w:r w:rsidR="00524031">
        <w:rPr>
          <w:rFonts w:ascii="Times New Roman" w:hAnsi="Times New Roman" w:cs="Times New Roman"/>
          <w:color w:val="222222"/>
          <w:sz w:val="24"/>
          <w:szCs w:val="24"/>
        </w:rPr>
        <w:t>,</w:t>
      </w:r>
      <w:r>
        <w:rPr>
          <w:rFonts w:ascii="Times New Roman" w:hAnsi="Times New Roman" w:cs="Times New Roman"/>
          <w:color w:val="222222"/>
          <w:sz w:val="24"/>
          <w:szCs w:val="24"/>
        </w:rPr>
        <w:t xml:space="preserve"> </w:t>
      </w:r>
      <w:r>
        <w:rPr>
          <w:rFonts w:ascii="Times New Roman" w:hAnsi="Times New Roman" w:cs="Times New Roman"/>
          <w:color w:val="000000" w:themeColor="text1"/>
          <w:sz w:val="24"/>
          <w:szCs w:val="24"/>
        </w:rPr>
        <w:t xml:space="preserve">Patrick (1966) propose </w:t>
      </w:r>
      <w:r>
        <w:rPr>
          <w:rFonts w:ascii="Times New Roman" w:hAnsi="Times New Roman" w:cs="Times New Roman"/>
          <w:sz w:val="24"/>
          <w:szCs w:val="24"/>
        </w:rPr>
        <w:t>un sens de causalité bidirectionnelle entre la sphère financière et la sphère réelle. Il suggère deux phases dans le développement économique d’un pays.</w:t>
      </w:r>
    </w:p>
    <w:p w14:paraId="7A70051A" w14:textId="67CE2B83" w:rsidR="003A1034" w:rsidRDefault="00F93D0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Pour Patrick, il convient de distinguer le développement financier exogène (induit par l’offre), du développement financier endogène (induit par la demande). D’une part, selon l’hypothèse du développement financier exogène, la création délibérée d'institutions financières et de marchés augmente l'offre de services financiers et conduit ainsi à une croissance économique réelle. D'autre part, l'hypothèse du développement financier endogène pose un lien de causalité entre la croissance économique et le développement financier. Ici, une demande croissante de services financiers entraine une expansion de ce secteur. Du point de vue de </w:t>
      </w:r>
      <w:proofErr w:type="spellStart"/>
      <w:r>
        <w:rPr>
          <w:rFonts w:ascii="Times New Roman" w:hAnsi="Times New Roman" w:cs="Times New Roman"/>
          <w:color w:val="000000" w:themeColor="text1"/>
          <w:sz w:val="24"/>
          <w:szCs w:val="24"/>
        </w:rPr>
        <w:t>Gurley</w:t>
      </w:r>
      <w:proofErr w:type="spellEnd"/>
      <w:r>
        <w:rPr>
          <w:rFonts w:ascii="Times New Roman" w:hAnsi="Times New Roman" w:cs="Times New Roman"/>
          <w:color w:val="000000" w:themeColor="text1"/>
          <w:sz w:val="24"/>
          <w:szCs w:val="24"/>
        </w:rPr>
        <w:t xml:space="preserve"> et Shaw (1995), Goldsmith (1969), la croissance </w:t>
      </w:r>
      <w:r>
        <w:rPr>
          <w:rFonts w:ascii="Times New Roman" w:hAnsi="Times New Roman" w:cs="Times New Roman"/>
          <w:color w:val="000000" w:themeColor="text1"/>
          <w:sz w:val="24"/>
        </w:rPr>
        <w:t>économique</w:t>
      </w:r>
      <w:r>
        <w:rPr>
          <w:rFonts w:ascii="Times New Roman" w:hAnsi="Times New Roman" w:cs="Times New Roman"/>
          <w:sz w:val="28"/>
          <w:szCs w:val="24"/>
        </w:rPr>
        <w:t xml:space="preserve"> </w:t>
      </w:r>
      <w:r>
        <w:rPr>
          <w:rFonts w:ascii="Times New Roman" w:hAnsi="Times New Roman" w:cs="Times New Roman"/>
          <w:color w:val="000000" w:themeColor="text1"/>
          <w:sz w:val="24"/>
          <w:szCs w:val="24"/>
        </w:rPr>
        <w:t>entraine une augmentation de la demande des services financiers</w:t>
      </w:r>
      <w:r w:rsidR="0052403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provoquant ainsi le développement du secteur. Au-delà de la vision de Patrick, il semble que la relation entre la finance et la croissance économique soit liée à des effets de seuil.</w:t>
      </w:r>
    </w:p>
    <w:p w14:paraId="3680A065" w14:textId="139C7D9E" w:rsidR="003A1034" w:rsidRDefault="00F93D0E">
      <w:pPr>
        <w:pStyle w:val="NormalWeb"/>
        <w:jc w:val="both"/>
      </w:pPr>
      <w:proofErr w:type="spellStart"/>
      <w:r>
        <w:rPr>
          <w:color w:val="000000" w:themeColor="text1"/>
        </w:rPr>
        <w:t>Allegret</w:t>
      </w:r>
      <w:proofErr w:type="spellEnd"/>
      <w:r>
        <w:rPr>
          <w:color w:val="000000" w:themeColor="text1"/>
        </w:rPr>
        <w:t xml:space="preserve"> et </w:t>
      </w:r>
      <w:proofErr w:type="spellStart"/>
      <w:r>
        <w:rPr>
          <w:color w:val="000000" w:themeColor="text1"/>
        </w:rPr>
        <w:t>Azzabi</w:t>
      </w:r>
      <w:proofErr w:type="spellEnd"/>
      <w:r>
        <w:rPr>
          <w:color w:val="000000" w:themeColor="text1"/>
        </w:rPr>
        <w:t xml:space="preserve"> (2012)</w:t>
      </w:r>
      <w:r>
        <w:t xml:space="preserve"> montrent que le lien est significativement positif pour les pays dont le niveau de développement financier est intermédiaire (Niveau moyen de crédit privé rapporté au PIB compris entre 14,5% et 24,9%)</w:t>
      </w:r>
      <w:r>
        <w:rPr>
          <w:color w:val="000000" w:themeColor="text1"/>
        </w:rPr>
        <w:t xml:space="preserve"> </w:t>
      </w:r>
      <w:r>
        <w:t xml:space="preserve">et non significatif pour des pays ayant un degré plus élevé de développement financier (Niveau moyen de crédit privé rapporté au PIB compris entre 24,9% et 90,2%). </w:t>
      </w:r>
      <w:proofErr w:type="spellStart"/>
      <w:r>
        <w:rPr>
          <w:color w:val="000000" w:themeColor="text1"/>
        </w:rPr>
        <w:t>Demetriades</w:t>
      </w:r>
      <w:proofErr w:type="spellEnd"/>
      <w:r>
        <w:rPr>
          <w:color w:val="000000" w:themeColor="text1"/>
        </w:rPr>
        <w:t xml:space="preserve"> et Law (2004) montrent au contraire que </w:t>
      </w:r>
      <w:r>
        <w:rPr>
          <w:color w:val="222222"/>
        </w:rPr>
        <w:t>le développement financier a une influence plus forte sur la croissance économique dans les pays à revenu intermédiaire (</w:t>
      </w:r>
      <w:r>
        <w:t xml:space="preserve">RNB par habitant compris entre 936$ et 3705$), </w:t>
      </w:r>
      <w:r>
        <w:rPr>
          <w:color w:val="000000" w:themeColor="text1"/>
        </w:rPr>
        <w:t xml:space="preserve">et plus faible </w:t>
      </w:r>
      <w:r>
        <w:rPr>
          <w:color w:val="222222"/>
        </w:rPr>
        <w:t>dans les pays à revenu élevé (</w:t>
      </w:r>
      <w:r>
        <w:t xml:space="preserve">RNB par habitant compris entre 3706$ et 11455$). Cependant, ces résultats </w:t>
      </w:r>
      <w:r>
        <w:rPr>
          <w:color w:val="000000" w:themeColor="text1"/>
        </w:rPr>
        <w:t xml:space="preserve">sont à relativiser selon </w:t>
      </w:r>
      <w:proofErr w:type="spellStart"/>
      <w:r>
        <w:rPr>
          <w:color w:val="000000" w:themeColor="text1"/>
        </w:rPr>
        <w:t>Keho</w:t>
      </w:r>
      <w:proofErr w:type="spellEnd"/>
      <w:r>
        <w:rPr>
          <w:color w:val="000000" w:themeColor="text1"/>
        </w:rPr>
        <w:t xml:space="preserve"> (2010). Ce dernier en étudiant </w:t>
      </w:r>
      <w:r>
        <w:t xml:space="preserve">le rôle des facteurs institutionnels dans le développement financier et économique des pays de l'Union économique et monétaire ouest-africaine (UEMOA) montre que le lien dépend de la qualité des institutions. L’auteur montre que la qualité de certaines institutions conditionne le niveau du développement financier et sa capacité à contribuer à la croissance économique. Malgré ces résultats, l’auteur n’a pas testé une présence éventuelle des effets de seuil. </w:t>
      </w:r>
    </w:p>
    <w:p w14:paraId="7F961688" w14:textId="71C2BB5F" w:rsidR="003A1034" w:rsidRDefault="00F93D0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 nombreux travaux empiriques ont évalué le lien entre la finance et la croissance dans les pays en développement. La plupart de ces travaux remettent en question la linéarité de la relation. </w:t>
      </w:r>
      <w:proofErr w:type="spellStart"/>
      <w:r>
        <w:rPr>
          <w:rFonts w:ascii="Times New Roman" w:hAnsi="Times New Roman" w:cs="Times New Roman"/>
          <w:color w:val="000000" w:themeColor="text1"/>
          <w:sz w:val="24"/>
          <w:szCs w:val="24"/>
        </w:rPr>
        <w:t>Berthelemy</w:t>
      </w:r>
      <w:proofErr w:type="spellEnd"/>
      <w:r>
        <w:rPr>
          <w:rFonts w:ascii="Times New Roman" w:hAnsi="Times New Roman" w:cs="Times New Roman"/>
          <w:color w:val="000000" w:themeColor="text1"/>
          <w:sz w:val="24"/>
          <w:szCs w:val="24"/>
        </w:rPr>
        <w:t xml:space="preserve"> et </w:t>
      </w:r>
      <w:proofErr w:type="spellStart"/>
      <w:r>
        <w:rPr>
          <w:rFonts w:ascii="Times New Roman" w:hAnsi="Times New Roman" w:cs="Times New Roman"/>
          <w:color w:val="000000" w:themeColor="text1"/>
          <w:sz w:val="24"/>
          <w:szCs w:val="24"/>
        </w:rPr>
        <w:t>Varoudakis</w:t>
      </w:r>
      <w:proofErr w:type="spellEnd"/>
      <w:r>
        <w:rPr>
          <w:rFonts w:ascii="Times New Roman" w:hAnsi="Times New Roman" w:cs="Times New Roman"/>
          <w:color w:val="000000" w:themeColor="text1"/>
          <w:sz w:val="24"/>
          <w:szCs w:val="24"/>
        </w:rPr>
        <w:t xml:space="preserve"> (1996) ont étudié cette question à partir d’un modèle de croissance endogène avec </w:t>
      </w:r>
      <w:r w:rsidR="00521700">
        <w:rPr>
          <w:rFonts w:ascii="Times New Roman" w:hAnsi="Times New Roman" w:cs="Times New Roman"/>
          <w:color w:val="000000" w:themeColor="text1"/>
          <w:sz w:val="24"/>
          <w:szCs w:val="24"/>
        </w:rPr>
        <w:t xml:space="preserve">le </w:t>
      </w:r>
      <w:r>
        <w:rPr>
          <w:rFonts w:ascii="Times New Roman" w:hAnsi="Times New Roman" w:cs="Times New Roman"/>
          <w:color w:val="000000" w:themeColor="text1"/>
          <w:sz w:val="24"/>
          <w:szCs w:val="24"/>
        </w:rPr>
        <w:t xml:space="preserve">secteur financier. Ils montrent l’existence d’une double causalité entre la croissance économique et le développement financier. Les auteurs identifient surtout des équilibres multiples à l’état stationnaire qui rendent compte de la convergence ou de la divergence des pays. Avec un échantillon de 57 pays développés et en développement sur la période 1967-2001, Fung (2009) confirme les résultats de </w:t>
      </w:r>
      <w:proofErr w:type="spellStart"/>
      <w:r>
        <w:rPr>
          <w:rFonts w:ascii="Times New Roman" w:hAnsi="Times New Roman" w:cs="Times New Roman"/>
          <w:color w:val="000000" w:themeColor="text1"/>
          <w:sz w:val="24"/>
          <w:szCs w:val="24"/>
        </w:rPr>
        <w:t>Berthelemy</w:t>
      </w:r>
      <w:proofErr w:type="spellEnd"/>
      <w:r>
        <w:rPr>
          <w:rFonts w:ascii="Times New Roman" w:hAnsi="Times New Roman" w:cs="Times New Roman"/>
          <w:color w:val="000000" w:themeColor="text1"/>
          <w:sz w:val="24"/>
          <w:szCs w:val="24"/>
        </w:rPr>
        <w:t xml:space="preserve"> et </w:t>
      </w:r>
      <w:proofErr w:type="spellStart"/>
      <w:r>
        <w:rPr>
          <w:rFonts w:ascii="Times New Roman" w:hAnsi="Times New Roman" w:cs="Times New Roman"/>
          <w:color w:val="000000" w:themeColor="text1"/>
          <w:sz w:val="24"/>
          <w:szCs w:val="24"/>
        </w:rPr>
        <w:t>Varoudakis</w:t>
      </w:r>
      <w:proofErr w:type="spellEnd"/>
      <w:r>
        <w:rPr>
          <w:rFonts w:ascii="Times New Roman" w:hAnsi="Times New Roman" w:cs="Times New Roman"/>
          <w:color w:val="000000" w:themeColor="text1"/>
          <w:sz w:val="24"/>
          <w:szCs w:val="24"/>
        </w:rPr>
        <w:t xml:space="preserve"> (1996). L’auteur utilise une technique d’estimation plus récente : la </w:t>
      </w:r>
      <w:r w:rsidR="00021990">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éthode des Moments Généralisés sur </w:t>
      </w:r>
      <w:r w:rsidR="00021990">
        <w:rPr>
          <w:rFonts w:ascii="Times New Roman" w:hAnsi="Times New Roman" w:cs="Times New Roman"/>
          <w:color w:val="000000" w:themeColor="text1"/>
          <w:sz w:val="24"/>
          <w:szCs w:val="24"/>
        </w:rPr>
        <w:t xml:space="preserve">un </w:t>
      </w:r>
      <w:r>
        <w:rPr>
          <w:rFonts w:ascii="Times New Roman" w:hAnsi="Times New Roman" w:cs="Times New Roman"/>
          <w:color w:val="000000" w:themeColor="text1"/>
          <w:sz w:val="24"/>
          <w:szCs w:val="24"/>
        </w:rPr>
        <w:t>panel dynamique avec effets fixes. Son étude conduit à deux résultats intéressants. Premièrement, le développement financier et la croissance économique ont une interaction d’autant plus forte pour les pays ayant un taux de croissance faible. La relation tend à s’affaiblir avec le taux de croissance</w:t>
      </w:r>
      <w:r>
        <w:rPr>
          <w:rFonts w:ascii="Times New Roman" w:hAnsi="Times New Roman" w:cs="Times New Roman"/>
          <w:color w:val="000000" w:themeColor="text1"/>
          <w:sz w:val="24"/>
        </w:rPr>
        <w:t xml:space="preserve"> économique</w:t>
      </w:r>
      <w:r>
        <w:rPr>
          <w:rFonts w:ascii="Times New Roman" w:hAnsi="Times New Roman" w:cs="Times New Roman"/>
          <w:color w:val="000000" w:themeColor="text1"/>
          <w:sz w:val="24"/>
          <w:szCs w:val="24"/>
        </w:rPr>
        <w:t>. Deuxièmement, l’auteur montre qu’il existe des trappes à pauvreté liées à un niveau initial trop bas de développement financier, niveau interdisant toute perspective de convergence en termes de croissance économique.</w:t>
      </w:r>
    </w:p>
    <w:p w14:paraId="3BEB696D" w14:textId="78DAD964" w:rsidR="003A1034" w:rsidRDefault="00F93D0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Sur un échantillon de 75 pays de 1966-1970 à 1990-1995, Aka (2005), montre que les indicateurs du développement financier ont un coefficient positif. Néanmoins cette analyse révèle la présence d’un effet de seuil. Pour l’auteur, d’autres interprétations alternatives à ces résultats</w:t>
      </w:r>
      <w:r w:rsidR="00BF33FA" w:rsidRPr="00BF33FA">
        <w:rPr>
          <w:rFonts w:ascii="Times New Roman" w:hAnsi="Times New Roman" w:cs="Times New Roman"/>
          <w:color w:val="000000" w:themeColor="text1"/>
          <w:sz w:val="24"/>
          <w:szCs w:val="24"/>
        </w:rPr>
        <w:t xml:space="preserve"> </w:t>
      </w:r>
      <w:r w:rsidR="00BF33FA">
        <w:rPr>
          <w:rFonts w:ascii="Times New Roman" w:hAnsi="Times New Roman" w:cs="Times New Roman"/>
          <w:color w:val="000000" w:themeColor="text1"/>
          <w:sz w:val="24"/>
          <w:szCs w:val="24"/>
        </w:rPr>
        <w:t>pourraient être avancées</w:t>
      </w:r>
      <w:r>
        <w:rPr>
          <w:rFonts w:ascii="Times New Roman" w:hAnsi="Times New Roman" w:cs="Times New Roman"/>
          <w:color w:val="000000" w:themeColor="text1"/>
          <w:sz w:val="24"/>
          <w:szCs w:val="24"/>
        </w:rPr>
        <w:t xml:space="preserve">. Premièrement, ces résultats pourraient refléter la convergence conditionnelle. Deuxièmement, ces résultats pourraient refléter le changement structurel qui peut apparaître au cours du développement économique et financier. Ces résultats ont été confirmés par d’autres auteurs tels que : </w:t>
      </w:r>
      <w:proofErr w:type="spellStart"/>
      <w:r>
        <w:rPr>
          <w:rFonts w:ascii="Times New Roman" w:hAnsi="Times New Roman" w:cs="Times New Roman"/>
          <w:color w:val="000000" w:themeColor="text1"/>
          <w:sz w:val="24"/>
          <w:szCs w:val="24"/>
        </w:rPr>
        <w:t>Allegret</w:t>
      </w:r>
      <w:proofErr w:type="spellEnd"/>
      <w:r>
        <w:rPr>
          <w:rFonts w:ascii="Times New Roman" w:hAnsi="Times New Roman" w:cs="Times New Roman"/>
          <w:color w:val="000000" w:themeColor="text1"/>
          <w:sz w:val="24"/>
          <w:szCs w:val="24"/>
        </w:rPr>
        <w:t xml:space="preserve"> et </w:t>
      </w:r>
      <w:proofErr w:type="spellStart"/>
      <w:r>
        <w:rPr>
          <w:rFonts w:ascii="Times New Roman" w:hAnsi="Times New Roman" w:cs="Times New Roman"/>
          <w:color w:val="000000" w:themeColor="text1"/>
          <w:sz w:val="24"/>
          <w:szCs w:val="24"/>
        </w:rPr>
        <w:t>Azzabi</w:t>
      </w:r>
      <w:proofErr w:type="spellEnd"/>
      <w:r>
        <w:rPr>
          <w:rFonts w:ascii="Times New Roman" w:hAnsi="Times New Roman" w:cs="Times New Roman"/>
          <w:color w:val="000000" w:themeColor="text1"/>
          <w:sz w:val="24"/>
          <w:szCs w:val="24"/>
        </w:rPr>
        <w:t xml:space="preserve"> (2012) ; </w:t>
      </w:r>
      <w:proofErr w:type="spellStart"/>
      <w:r>
        <w:rPr>
          <w:rFonts w:ascii="Times New Roman" w:hAnsi="Times New Roman" w:cs="Times New Roman"/>
          <w:color w:val="000000" w:themeColor="text1"/>
          <w:sz w:val="24"/>
          <w:szCs w:val="24"/>
        </w:rPr>
        <w:t>Berthelemy</w:t>
      </w:r>
      <w:proofErr w:type="spellEnd"/>
      <w:r>
        <w:rPr>
          <w:rFonts w:ascii="Times New Roman" w:hAnsi="Times New Roman" w:cs="Times New Roman"/>
          <w:color w:val="000000" w:themeColor="text1"/>
          <w:sz w:val="24"/>
          <w:szCs w:val="24"/>
        </w:rPr>
        <w:t xml:space="preserve"> et </w:t>
      </w:r>
      <w:proofErr w:type="spellStart"/>
      <w:r>
        <w:rPr>
          <w:rFonts w:ascii="Times New Roman" w:hAnsi="Times New Roman" w:cs="Times New Roman"/>
          <w:color w:val="000000" w:themeColor="text1"/>
          <w:sz w:val="24"/>
          <w:szCs w:val="24"/>
        </w:rPr>
        <w:t>Varoudakis</w:t>
      </w:r>
      <w:proofErr w:type="spellEnd"/>
      <w:r>
        <w:rPr>
          <w:rFonts w:ascii="Times New Roman" w:hAnsi="Times New Roman" w:cs="Times New Roman"/>
          <w:color w:val="000000" w:themeColor="text1"/>
          <w:sz w:val="24"/>
          <w:szCs w:val="24"/>
        </w:rPr>
        <w:t xml:space="preserve"> (1996). </w:t>
      </w:r>
      <w:proofErr w:type="spellStart"/>
      <w:r>
        <w:rPr>
          <w:rFonts w:ascii="Times New Roman" w:hAnsi="Times New Roman" w:cs="Times New Roman"/>
          <w:color w:val="000000" w:themeColor="text1"/>
          <w:sz w:val="24"/>
          <w:szCs w:val="24"/>
        </w:rPr>
        <w:t>Allegret</w:t>
      </w:r>
      <w:proofErr w:type="spellEnd"/>
      <w:r>
        <w:rPr>
          <w:rFonts w:ascii="Times New Roman" w:hAnsi="Times New Roman" w:cs="Times New Roman"/>
          <w:color w:val="000000" w:themeColor="text1"/>
          <w:sz w:val="24"/>
          <w:szCs w:val="24"/>
        </w:rPr>
        <w:t xml:space="preserve"> et </w:t>
      </w:r>
      <w:proofErr w:type="spellStart"/>
      <w:r>
        <w:rPr>
          <w:rFonts w:ascii="Times New Roman" w:hAnsi="Times New Roman" w:cs="Times New Roman"/>
          <w:color w:val="000000" w:themeColor="text1"/>
          <w:sz w:val="24"/>
          <w:szCs w:val="24"/>
        </w:rPr>
        <w:t>Azzabi</w:t>
      </w:r>
      <w:proofErr w:type="spellEnd"/>
      <w:r>
        <w:rPr>
          <w:rFonts w:ascii="Times New Roman" w:hAnsi="Times New Roman" w:cs="Times New Roman"/>
          <w:color w:val="000000" w:themeColor="text1"/>
          <w:sz w:val="24"/>
          <w:szCs w:val="24"/>
        </w:rPr>
        <w:t xml:space="preserve"> (2012) </w:t>
      </w:r>
      <w:r>
        <w:rPr>
          <w:rFonts w:ascii="Times New Roman" w:hAnsi="Times New Roman" w:cs="Times New Roman"/>
          <w:color w:val="000000" w:themeColor="text1"/>
          <w:sz w:val="24"/>
        </w:rPr>
        <w:t>montrent que l’impact du développement financier sur la croissance est positif pour les pays dont le niveau de développement financier est intermédiaire (</w:t>
      </w:r>
      <w:r>
        <w:rPr>
          <w:rFonts w:ascii="Times New Roman" w:hAnsi="Times New Roman" w:cs="Times New Roman"/>
          <w:color w:val="000000" w:themeColor="text1"/>
          <w:sz w:val="24"/>
          <w:szCs w:val="24"/>
        </w:rPr>
        <w:t xml:space="preserve">Niveau moyen de crédit privé rapporté au PIB compris entre 14,496% et 24,951%), contrairement à ceux avec un degré plus élevé de développement financier (Niveau moyen de crédit privé rapporté au PIB compris entre 24,951% et 90,209%). Le point de retournement entre le développement financier et la croissance est aussi mis en </w:t>
      </w:r>
      <w:r w:rsidR="00524031">
        <w:rPr>
          <w:rFonts w:ascii="Times New Roman" w:hAnsi="Times New Roman" w:cs="Times New Roman"/>
          <w:color w:val="000000" w:themeColor="text1"/>
          <w:sz w:val="24"/>
          <w:szCs w:val="24"/>
        </w:rPr>
        <w:t>é</w:t>
      </w:r>
      <w:r>
        <w:rPr>
          <w:rFonts w:ascii="Times New Roman" w:hAnsi="Times New Roman" w:cs="Times New Roman"/>
          <w:color w:val="000000" w:themeColor="text1"/>
          <w:sz w:val="24"/>
          <w:szCs w:val="24"/>
        </w:rPr>
        <w:t xml:space="preserve">vidence par </w:t>
      </w:r>
      <w:proofErr w:type="spellStart"/>
      <w:r>
        <w:rPr>
          <w:rFonts w:ascii="Times New Roman" w:hAnsi="Times New Roman" w:cs="Times New Roman"/>
          <w:color w:val="000000" w:themeColor="text1"/>
          <w:sz w:val="24"/>
          <w:szCs w:val="24"/>
        </w:rPr>
        <w:t>Berthélemy</w:t>
      </w:r>
      <w:proofErr w:type="spellEnd"/>
      <w:r>
        <w:rPr>
          <w:rFonts w:ascii="Times New Roman" w:hAnsi="Times New Roman" w:cs="Times New Roman"/>
          <w:color w:val="000000" w:themeColor="text1"/>
          <w:sz w:val="24"/>
          <w:szCs w:val="24"/>
        </w:rPr>
        <w:t xml:space="preserve"> et </w:t>
      </w:r>
      <w:proofErr w:type="spellStart"/>
      <w:r>
        <w:rPr>
          <w:rFonts w:ascii="Times New Roman" w:hAnsi="Times New Roman" w:cs="Times New Roman"/>
          <w:color w:val="000000" w:themeColor="text1"/>
          <w:sz w:val="24"/>
          <w:szCs w:val="24"/>
        </w:rPr>
        <w:t>Varoudakis</w:t>
      </w:r>
      <w:proofErr w:type="spellEnd"/>
      <w:r>
        <w:rPr>
          <w:rFonts w:ascii="Times New Roman" w:hAnsi="Times New Roman" w:cs="Times New Roman"/>
          <w:color w:val="000000" w:themeColor="text1"/>
          <w:sz w:val="24"/>
          <w:szCs w:val="24"/>
        </w:rPr>
        <w:t xml:space="preserve"> (1998). Ces auteurs montrent que l'impact de l'approfondissement financier sur la croissance </w:t>
      </w:r>
      <w:r>
        <w:rPr>
          <w:rFonts w:ascii="Times New Roman" w:hAnsi="Times New Roman" w:cs="Times New Roman"/>
          <w:color w:val="000000" w:themeColor="text1"/>
          <w:sz w:val="24"/>
        </w:rPr>
        <w:t>économique</w:t>
      </w:r>
      <w:r>
        <w:rPr>
          <w:rFonts w:ascii="Times New Roman" w:hAnsi="Times New Roman" w:cs="Times New Roman"/>
          <w:color w:val="000000" w:themeColor="text1"/>
          <w:sz w:val="24"/>
          <w:szCs w:val="24"/>
        </w:rPr>
        <w:t xml:space="preserve"> ne se manifeste qu'à partir d'un certain seuil du ratio M2/PIB égal à 36,5%. Les auteurs montrent que pour les pays ayant un faible ratio de liquidité, l'impact du développement financier sur la croissance n’est pas significatif.</w:t>
      </w:r>
    </w:p>
    <w:p w14:paraId="5138448D" w14:textId="77777777" w:rsidR="003A1034" w:rsidRDefault="00F93D0E">
      <w:pPr>
        <w:spacing w:line="240" w:lineRule="auto"/>
        <w:jc w:val="both"/>
        <w:rPr>
          <w:rFonts w:ascii="Times New Roman" w:hAnsi="Times New Roman" w:cs="Times New Roman"/>
          <w:color w:val="222222"/>
          <w:sz w:val="24"/>
          <w:szCs w:val="24"/>
        </w:rPr>
      </w:pPr>
      <w:r>
        <w:rPr>
          <w:rFonts w:ascii="Times New Roman" w:hAnsi="Times New Roman" w:cs="Times New Roman"/>
          <w:color w:val="000000" w:themeColor="text1"/>
          <w:sz w:val="24"/>
          <w:szCs w:val="24"/>
        </w:rPr>
        <w:t xml:space="preserve">Les travaux de César et Lin (2002) confirment ceux de Patrick (1966) relatif au développement financier endogène et exogène. César et Lin (2002) montrent que </w:t>
      </w:r>
      <w:r>
        <w:rPr>
          <w:rFonts w:ascii="Times New Roman" w:hAnsi="Times New Roman" w:cs="Times New Roman"/>
          <w:color w:val="222222"/>
          <w:sz w:val="24"/>
          <w:szCs w:val="24"/>
        </w:rPr>
        <w:t xml:space="preserve">le développement financier conduit généralement à la croissance économique dans 109 pays en développement et industriels pour la période de 1960 à 1994. Pour ces auteurs, l'approfondissement financier dans de nombreux pays a donné le résultat souhaité : une économie plus prospère. Lorsque les auteurs divisent l'échantillon en pays en développement et industriels, la causalité de Granger du développement financier à la croissance économique et de la croissance économique au développement financier coexiste dans 87 des pays en développement. Il existe donc une causalité bidirectionnelle selon cette étude. La relation de causalité entre l'intermédiation financière (x) et la croissance (y) se décompose en trois relations causales différentes (causalité de x à y, causalité de y à x et causalité instantanée entre x et y). </w:t>
      </w:r>
    </w:p>
    <w:p w14:paraId="7C406FB7" w14:textId="0F64C132" w:rsidR="00A56C1A" w:rsidRDefault="00F93D0E">
      <w:pPr>
        <w:spacing w:line="24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rPr>
        <w:t>Keho</w:t>
      </w:r>
      <w:proofErr w:type="spellEnd"/>
      <w:r>
        <w:rPr>
          <w:rFonts w:ascii="Times New Roman" w:hAnsi="Times New Roman" w:cs="Times New Roman"/>
          <w:color w:val="222222"/>
          <w:sz w:val="24"/>
          <w:szCs w:val="24"/>
        </w:rPr>
        <w:t xml:space="preserve"> (2010) </w:t>
      </w:r>
      <w:r>
        <w:rPr>
          <w:rFonts w:ascii="Times New Roman" w:hAnsi="Times New Roman" w:cs="Times New Roman"/>
          <w:color w:val="000000" w:themeColor="text1"/>
          <w:sz w:val="24"/>
        </w:rPr>
        <w:t xml:space="preserve">analyse la relation entre les institutions, la finance et la croissance économique dans les pays de l’UEMOA. L’auteur utilise la méthode Pool </w:t>
      </w:r>
      <w:proofErr w:type="spellStart"/>
      <w:r>
        <w:rPr>
          <w:rFonts w:ascii="Times New Roman" w:hAnsi="Times New Roman" w:cs="Times New Roman"/>
          <w:color w:val="000000" w:themeColor="text1"/>
          <w:sz w:val="24"/>
        </w:rPr>
        <w:t>Mean</w:t>
      </w:r>
      <w:proofErr w:type="spellEnd"/>
      <w:r>
        <w:rPr>
          <w:rFonts w:ascii="Times New Roman" w:hAnsi="Times New Roman" w:cs="Times New Roman"/>
          <w:color w:val="000000" w:themeColor="text1"/>
          <w:sz w:val="24"/>
        </w:rPr>
        <w:t xml:space="preserve"> Group pour estimer un modèle non linéaire en données de panel sur la période 1984-2005. Les résultats montrent que la qualité de certaines institutions conditionne le niveau d’approfondissement du système financier et sa capacité à contribuer significativement à la croissance. </w:t>
      </w:r>
      <w:r>
        <w:rPr>
          <w:rFonts w:ascii="Times New Roman" w:hAnsi="Times New Roman" w:cs="Times New Roman"/>
          <w:sz w:val="24"/>
        </w:rPr>
        <w:t>L’étude montre que la bureaucratie, le contrôle de la corruption, la démocratie, le respect des lois et de l’ordre et la stabilité du gouvernement sont les aspects de l’environnement institutionnel les plus déterminants.</w:t>
      </w:r>
      <w:r>
        <w:rPr>
          <w:rFonts w:ascii="Times New Roman" w:hAnsi="Times New Roman" w:cs="Times New Roman"/>
          <w:sz w:val="24"/>
          <w:szCs w:val="24"/>
        </w:rPr>
        <w:t xml:space="preserve"> Les études empiriques ne résolvent pas complètement la question de la causalité. Le développement financier peut prédire la croissance </w:t>
      </w:r>
      <w:r w:rsidR="008A385B">
        <w:rPr>
          <w:rFonts w:ascii="Times New Roman" w:hAnsi="Times New Roman" w:cs="Times New Roman"/>
          <w:sz w:val="24"/>
          <w:szCs w:val="24"/>
        </w:rPr>
        <w:t>car</w:t>
      </w:r>
      <w:r>
        <w:rPr>
          <w:rFonts w:ascii="Times New Roman" w:hAnsi="Times New Roman" w:cs="Times New Roman"/>
          <w:sz w:val="24"/>
          <w:szCs w:val="24"/>
        </w:rPr>
        <w:t xml:space="preserve"> les systèmes financiers se développent tout simplement suite à une anticipation de la croissance économique future. </w:t>
      </w:r>
    </w:p>
    <w:p w14:paraId="0EA5D7FE" w14:textId="3FAEA3A0" w:rsidR="003A1034" w:rsidRDefault="00F93D0E">
      <w:pPr>
        <w:spacing w:line="240" w:lineRule="auto"/>
        <w:jc w:val="both"/>
        <w:rPr>
          <w:rFonts w:cs="Times New Roman"/>
          <w:color w:val="000000"/>
          <w:sz w:val="24"/>
        </w:rPr>
      </w:pPr>
      <w:r>
        <w:rPr>
          <w:rFonts w:ascii="Times New Roman" w:hAnsi="Times New Roman" w:cs="Times New Roman"/>
          <w:color w:val="000000"/>
          <w:sz w:val="24"/>
        </w:rPr>
        <w:t xml:space="preserve">Des auteurs tels que </w:t>
      </w:r>
      <w:r>
        <w:rPr>
          <w:rFonts w:ascii="Times New Roman" w:hAnsi="Times New Roman" w:cs="Times New Roman"/>
          <w:color w:val="000000"/>
          <w:sz w:val="24"/>
        </w:rPr>
        <w:fldChar w:fldCharType="begin"/>
      </w:r>
      <w:r>
        <w:rPr>
          <w:rFonts w:ascii="Times New Roman" w:hAnsi="Times New Roman" w:cs="Times New Roman"/>
          <w:color w:val="000000"/>
          <w:sz w:val="24"/>
        </w:rPr>
        <w:instrText xml:space="preserve"> ADDIN ZOTERO_ITEM CSL_CITATION {"citationID":"8tqvsrew","properties":{"formattedCitation":"(Beck et al., 2007a)","plainCitation":"(Beck et al., 2007a)","dontUpdate":true,"noteIndex":0},"citationItems":[{"id":1248,"uris":["http://zotero.org/users/local/7lArfcMW/items/CU2JSG2W"],"itemData":{"id":1248,"type":"article-journal","abstract":"Financial development disproportionately boosts incomes of the poorest quintile and reduces income inequality. About 40% of the long-run impact of financial development on the income growth of the poorest quintile is the result of reductions in income inequality, while 60% is due to the impact of financial development on aggregate economic growth. Furthermore, financial development is associated with a drop in the fraction of the population living on less than $1 a day, a result which holds when conditioning on average growth. These findings emphasize the importance of the financial system for the poor.","container-title":"Journal of Economic Growth","DOI":"10.1007/s10887-007-9010-6","ISSN":"1381-4338, 1573-7020","issue":"1","journalAbbreviation":"J Econ Growth","language":"en","page":"27-49","source":"DOI.org (Crossref)","title":"Finance, inequality and the poor","URL":"http://link.springer.com/10.1007/s10887-007-9010-6","volume":"12","author":[{"family":"Beck","given":"Thorsten"},{"family":"Demirgüç-Kunt","given":"Asli"},{"family":"Levine","given":"Ross"}],"accessed":{"date-parts":[["2024",2,22]]},"issued":{"date-parts":[["2007",3,28]]}}}],"schema":"https://github.com/citation-style-language/schema/raw/master/csl-citation.json"} </w:instrText>
      </w:r>
      <w:r>
        <w:rPr>
          <w:rFonts w:ascii="Times New Roman" w:hAnsi="Times New Roman" w:cs="Times New Roman"/>
          <w:color w:val="000000"/>
          <w:sz w:val="24"/>
        </w:rPr>
        <w:fldChar w:fldCharType="separate"/>
      </w:r>
      <w:r>
        <w:rPr>
          <w:rFonts w:ascii="Times New Roman" w:hAnsi="Times New Roman" w:cs="Times New Roman"/>
          <w:color w:val="000000"/>
          <w:sz w:val="24"/>
        </w:rPr>
        <w:t>Beck et al.(2007a)</w:t>
      </w:r>
      <w:r>
        <w:rPr>
          <w:rFonts w:ascii="Times New Roman" w:hAnsi="Times New Roman" w:cs="Times New Roman"/>
          <w:color w:val="000000"/>
          <w:sz w:val="24"/>
        </w:rPr>
        <w:fldChar w:fldCharType="end"/>
      </w:r>
      <w:r>
        <w:rPr>
          <w:rFonts w:ascii="Times New Roman" w:hAnsi="Times New Roman" w:cs="Times New Roman"/>
          <w:color w:val="000000"/>
          <w:sz w:val="24"/>
        </w:rPr>
        <w:t xml:space="preserve"> et </w:t>
      </w:r>
      <w:r>
        <w:rPr>
          <w:rFonts w:ascii="Times New Roman" w:hAnsi="Times New Roman" w:cs="Times New Roman"/>
          <w:color w:val="000000"/>
          <w:sz w:val="24"/>
        </w:rPr>
        <w:fldChar w:fldCharType="begin"/>
      </w:r>
      <w:r>
        <w:rPr>
          <w:rFonts w:ascii="Times New Roman" w:hAnsi="Times New Roman" w:cs="Times New Roman"/>
          <w:color w:val="000000"/>
          <w:sz w:val="24"/>
        </w:rPr>
        <w:instrText xml:space="preserve"> ADDIN ZOTERO_ITEM CSL_CITATION {"citationID":"yNFzfxnu","properties":{"formattedCitation":"(Ardic et al., 2011)","plainCitation":"(Ardic et al., 2011)","dontUpdate":true,"noteIndex":0},"citationItems":[{"id":1066,"uris":["http://zotero.org/users/local/7lArfcMW/items/3ZZXIBYU"],"itemData":{"id":1066,"type":"book","collection-title":"Policy Research Working Papers","language":"en","note":"DOI: 10.1596/1813-9450-5537","publisher":"The World Bank","source":"DOI.org (Crossref)","title":"Access to financial services and the financial inclusion agenda around the world: A cross-country analysis with a new data set","title-short":"Access to financial services and the financial inclusion agenda around the world","URL":"http://elibrary.worldbank.org/doi/book/10.1596/1813-9450-5537","author":[{"family":"Ardic","given":"Oya Pinar"},{"family":"Heimann","given":"Maximilien"},{"family":"Mylenko","given":"Nataliya"}],"accessed":{"date-parts":[["2024",2,22]]},"issued":{"date-parts":[["2011",1]]}}}],"schema":"https://github.com/citation-style-language/schema/raw/master/csl-citation.json"} </w:instrText>
      </w:r>
      <w:r>
        <w:rPr>
          <w:rFonts w:ascii="Times New Roman" w:hAnsi="Times New Roman" w:cs="Times New Roman"/>
          <w:color w:val="000000"/>
          <w:sz w:val="24"/>
        </w:rPr>
        <w:fldChar w:fldCharType="separate"/>
      </w:r>
      <w:r>
        <w:rPr>
          <w:rFonts w:ascii="Times New Roman" w:hAnsi="Times New Roman" w:cs="Times New Roman"/>
          <w:color w:val="000000"/>
          <w:sz w:val="24"/>
        </w:rPr>
        <w:t>Ardic et al.(2011)</w:t>
      </w:r>
      <w:r>
        <w:rPr>
          <w:rFonts w:ascii="Times New Roman" w:hAnsi="Times New Roman" w:cs="Times New Roman"/>
          <w:color w:val="000000"/>
          <w:sz w:val="24"/>
        </w:rPr>
        <w:fldChar w:fldCharType="end"/>
      </w:r>
      <w:r>
        <w:rPr>
          <w:rFonts w:ascii="Times New Roman" w:hAnsi="Times New Roman" w:cs="Times New Roman"/>
          <w:color w:val="000000"/>
          <w:sz w:val="24"/>
        </w:rPr>
        <w:t xml:space="preserve"> ont mesuré la portée du système bancaire dans le développement des activités économiques . Pour ce faire, ils ont eu recours au nombre de succursales et guichets automatiques pour 100 000 personnes et par 1000km2, pour évaluer respectivement la pénétration démographique et géographique du système financier. Ils ont pu montrer que le développement financier favorise la croissance économique.  Beck et al. (2007) ont également employé des indicateurs comme le nombre de crédits et de dépôts par </w:t>
      </w:r>
      <w:r w:rsidR="008A385B">
        <w:rPr>
          <w:rFonts w:ascii="Times New Roman" w:hAnsi="Times New Roman" w:cs="Times New Roman"/>
          <w:color w:val="000000"/>
          <w:sz w:val="24"/>
        </w:rPr>
        <w:t>1</w:t>
      </w:r>
      <w:r>
        <w:rPr>
          <w:rFonts w:ascii="Times New Roman" w:hAnsi="Times New Roman" w:cs="Times New Roman"/>
          <w:color w:val="000000"/>
          <w:sz w:val="24"/>
        </w:rPr>
        <w:t xml:space="preserve">000 personnes et la taille moyenne des emprunts et des prêts par rapport au PIB par habitant (ratio crédit/revenu et ratio dépôt/revenu). </w:t>
      </w:r>
      <w:r>
        <w:rPr>
          <w:rFonts w:ascii="Times New Roman" w:hAnsi="Times New Roman" w:cs="Times New Roman"/>
          <w:color w:val="000000"/>
          <w:sz w:val="24"/>
        </w:rPr>
        <w:fldChar w:fldCharType="begin"/>
      </w:r>
      <w:r>
        <w:rPr>
          <w:rFonts w:ascii="Times New Roman" w:hAnsi="Times New Roman" w:cs="Times New Roman"/>
          <w:color w:val="000000"/>
          <w:sz w:val="24"/>
        </w:rPr>
        <w:instrText xml:space="preserve"> ADDIN ZOTERO_ITEM CSL_CITATION {"citationID":"v72JFrTC","properties":{"formattedCitation":"(Ardic et al., 2011b)","plainCitation":"(Ardic et al., 2011b)","dontUpdate":true,"noteIndex":0},"citationItems":[{"id":666,"uris":["http://zotero.org/users/local/7lArfcMW/items/77TWU2PR"],"itemData":{"id":666,"type":"book","collection-title":"Policy Research Working Papers","language":"en","note":"DOI: 10.1596/1813-9450-5537","publisher":"The World Bank","source":"DOI.org (Crossref)","title":"Access to financial services and the financial inclusion agenda around the world: A cross-country analysis with a new data set","title-short":"Access to financial services and the financial inclusion agenda around the world","URL":"http://elibrary.worldbank.org/doi/book/10.1596/1813-9450-5537","author":[{"family":"Ardic","given":"Oya Pinar"},{"family":"Heimann","given":"Maximilien"},{"family":"Mylenko","given":"Nataliya"}],"accessed":{"date-parts":[["2023",10,7]]},"issued":{"date-parts":[["2011",1]]}}}],"schema":"https://github.com/citation-style-language/schema/raw/master/csl-citation.json"} </w:instrText>
      </w:r>
      <w:r>
        <w:rPr>
          <w:rFonts w:ascii="Times New Roman" w:hAnsi="Times New Roman" w:cs="Times New Roman"/>
          <w:color w:val="000000"/>
          <w:sz w:val="24"/>
        </w:rPr>
        <w:fldChar w:fldCharType="separate"/>
      </w:r>
      <w:r>
        <w:rPr>
          <w:rFonts w:ascii="Times New Roman" w:hAnsi="Times New Roman" w:cs="Times New Roman"/>
          <w:color w:val="000000"/>
          <w:sz w:val="24"/>
        </w:rPr>
        <w:t>Ardic et al.</w:t>
      </w:r>
      <w:r w:rsidR="00890585">
        <w:rPr>
          <w:rFonts w:ascii="Times New Roman" w:hAnsi="Times New Roman" w:cs="Times New Roman"/>
          <w:color w:val="000000"/>
          <w:sz w:val="24"/>
        </w:rPr>
        <w:t xml:space="preserve"> </w:t>
      </w:r>
      <w:r>
        <w:rPr>
          <w:rFonts w:ascii="Times New Roman" w:hAnsi="Times New Roman" w:cs="Times New Roman"/>
          <w:color w:val="000000"/>
          <w:sz w:val="24"/>
        </w:rPr>
        <w:t>(2011b)</w:t>
      </w:r>
      <w:r>
        <w:rPr>
          <w:rFonts w:ascii="Times New Roman" w:hAnsi="Times New Roman" w:cs="Times New Roman"/>
          <w:color w:val="000000"/>
          <w:sz w:val="24"/>
        </w:rPr>
        <w:fldChar w:fldCharType="end"/>
      </w:r>
      <w:r>
        <w:rPr>
          <w:rFonts w:ascii="Times New Roman" w:hAnsi="Times New Roman" w:cs="Times New Roman"/>
          <w:color w:val="000000"/>
          <w:sz w:val="24"/>
        </w:rPr>
        <w:t xml:space="preserve"> ont estimé qu’en 2009, 56 % des adultes dans le monde n’étaient pas bancarisés. Ce taux monte à 64 </w:t>
      </w:r>
      <w:r w:rsidRPr="00426F36">
        <w:rPr>
          <w:rFonts w:ascii="Times New Roman" w:hAnsi="Times New Roman" w:cs="Times New Roman"/>
          <w:color w:val="000000"/>
          <w:sz w:val="24"/>
        </w:rPr>
        <w:t xml:space="preserve">% </w:t>
      </w:r>
      <w:r w:rsidR="00C12368" w:rsidRPr="00426F36">
        <w:rPr>
          <w:rFonts w:ascii="Times New Roman" w:hAnsi="Times New Roman" w:cs="Times New Roman"/>
          <w:color w:val="000000"/>
          <w:sz w:val="24"/>
        </w:rPr>
        <w:t>en considérant</w:t>
      </w:r>
      <w:r>
        <w:rPr>
          <w:rFonts w:ascii="Times New Roman" w:hAnsi="Times New Roman" w:cs="Times New Roman"/>
          <w:color w:val="000000"/>
          <w:sz w:val="24"/>
        </w:rPr>
        <w:t xml:space="preserve"> uniquement les pays en développement. Ces auteurs aboutissent également à la même </w:t>
      </w:r>
      <w:r>
        <w:rPr>
          <w:rFonts w:ascii="Times New Roman" w:hAnsi="Times New Roman" w:cs="Times New Roman"/>
          <w:color w:val="000000"/>
          <w:sz w:val="24"/>
        </w:rPr>
        <w:lastRenderedPageBreak/>
        <w:t>conclusion que l’accès aux services financiers permet le développement de l’activité économique.</w:t>
      </w:r>
    </w:p>
    <w:p w14:paraId="0B5BF6E1" w14:textId="4F403F05" w:rsidR="003A1034" w:rsidRDefault="00F93D0E">
      <w:pPr>
        <w:spacing w:line="240" w:lineRule="auto"/>
        <w:jc w:val="both"/>
      </w:pPr>
      <w:r>
        <w:rPr>
          <w:rFonts w:ascii="Times New Roman" w:hAnsi="Times New Roman" w:cs="Times New Roman"/>
          <w:color w:val="000000"/>
          <w:sz w:val="24"/>
        </w:rPr>
        <w:fldChar w:fldCharType="begin"/>
      </w:r>
      <w:r>
        <w:rPr>
          <w:rFonts w:ascii="Times New Roman" w:hAnsi="Times New Roman" w:cs="Times New Roman"/>
          <w:color w:val="000000"/>
          <w:sz w:val="24"/>
        </w:rPr>
        <w:instrText xml:space="preserve"> ADDIN ZOTERO_ITEM CSL_CITATION {"citationID":"hsq9E39j","properties":{"formattedCitation":"(Armand Gilbert et al., 2016)","plainCitation":"(Armand Gilbert et al., 2016)","dontUpdate":true,"noteIndex":0},"citationItems":[{"id":1461,"uris":["http://zotero.org/users/local/7lArfcMW/items/JUJ5892S"],"itemData":{"id":1461,"type":"article-journal","abstract":"The CEMAC countries have decided to develop the banking sector to ensure economic growth48 for a sustainable development, given that the banking system leads to investments. Our study aims at analyzing the influence of bank credit and banking rate on economic growth in the CEMAC zone from time series data during 1980-2014 (CD -ROM, WBI2014). The econometric analysis that we have chosen was inspired by the generalized least squares method. The model we preferred was that of Hague (2000) where the Gross Domestic Product is the dependent variable for assessing the level of economic growth while the bank credit and the banking rate are the main explanatory variables. The results indicate that the variables are significant thus, the banking rate affects economic growth positively. Following these results one could think about new strategies that will help increase the banking rate which is still very low in the Sub-region.","container-title":"European Scientific Journal, ESJ","DOI":"10.19044/esj.2016.v12n31p373","ISSN":"18577431, 18577881","issue":"31","journalAbbreviation":"ESJ","language":"fr","page":"373","source":"DOI.org (Crossref)","title":"Influence De La Bancarisation Et Du Credit Bancaire Sur La Croissance Economique Dans La Zone Cemac","URL":"http://eujournal.org/index.php/esj/article/view/8373","volume":"12","author":[{"family":"Armand Gilbert","given":"Noula"},{"family":"Nguemnang Y. Rodrigue","given":"Bkwayep"},{"family":"Fokwa Arsène","given":"Mba"}],"accessed":{"date-parts":[["2024",4,17]]},"issued":{"date-parts":[["2016",11,30]]}}}],"schema":"https://github.com/citation-style-language/schema/raw/master/csl-citation.json"} </w:instrText>
      </w:r>
      <w:r>
        <w:rPr>
          <w:rFonts w:ascii="Times New Roman" w:hAnsi="Times New Roman" w:cs="Times New Roman"/>
          <w:color w:val="000000"/>
          <w:sz w:val="24"/>
        </w:rPr>
        <w:fldChar w:fldCharType="separate"/>
      </w:r>
      <w:r>
        <w:rPr>
          <w:rFonts w:ascii="Times New Roman" w:hAnsi="Times New Roman" w:cs="Times New Roman"/>
          <w:color w:val="000000"/>
          <w:sz w:val="24"/>
        </w:rPr>
        <w:t>Armand Gilbert et al. (2016)</w:t>
      </w:r>
      <w:r>
        <w:rPr>
          <w:rFonts w:ascii="Times New Roman" w:hAnsi="Times New Roman" w:cs="Times New Roman"/>
          <w:color w:val="000000"/>
          <w:sz w:val="24"/>
        </w:rPr>
        <w:fldChar w:fldCharType="end"/>
      </w:r>
      <w:r>
        <w:rPr>
          <w:rFonts w:ascii="Times New Roman" w:hAnsi="Times New Roman" w:cs="Times New Roman"/>
          <w:color w:val="000000"/>
          <w:sz w:val="24"/>
        </w:rPr>
        <w:t xml:space="preserve">, eux, ont mené une étude sur les pays de la CEMAC et concluent que le crédit bancaire et le niveau de bancarisation ont une influence positive sur le niveau de croissance des pays. L’étude a couvert la période 1980 à 2014. Le modèle retenu pour l’analyse est celui de Haye (2000) où le Produit Intérieur Brut représente la variable expliquée qui permet d’évaluer le niveau de croissance économique, tandis que le crédit bancaire et le taux de bancarisation sont les principales variables explicatives. Les résultats obtenus nous montrent que les variables retenues sont significatives et que le taux de bancarisation agit positivement sur la croissance économique. Aussi, </w:t>
      </w:r>
      <w:r>
        <w:rPr>
          <w:rFonts w:ascii="Times New Roman" w:hAnsi="Times New Roman" w:cs="Times New Roman"/>
          <w:color w:val="000000"/>
          <w:sz w:val="24"/>
        </w:rPr>
        <w:fldChar w:fldCharType="begin"/>
      </w:r>
      <w:r>
        <w:rPr>
          <w:rFonts w:ascii="Times New Roman" w:hAnsi="Times New Roman" w:cs="Times New Roman"/>
          <w:color w:val="000000"/>
          <w:sz w:val="24"/>
        </w:rPr>
        <w:instrText xml:space="preserve"> ADDIN ZOTERO_ITEM CSL_CITATION {"citationID":"TBey8Jwv","properties":{"formattedCitation":"(Emara &amp; El Said, 2021)","plainCitation":"(Emara &amp; El Said, 2021)","dontUpdate":true,"noteIndex":0},"citationItems":[{"id":1132,"uris":["http://zotero.org/users/local/7lArfcMW/items/CJS7SNZQ"],"itemData":{"id":1132,"type":"article-journal","container-title":"International Review of Economics &amp; Finance","DOI":"10.1016/j.iref.2021.03.014","ISSN":"10590560","journalAbbreviation":"International Review of Economics &amp; Finance","language":"en","page":"34-54","source":"DOI.org (Crossref)","title":"Financial inclusion and economic growth: The role of governance in selected MENA countries","title-short":"Financial inclusion and economic growth","URL":"https://linkinghub.elsevier.com/retrieve/pii/S105905602100054X","volume":"75","author":[{"family":"Emara","given":"Noha"},{"family":"El Said","given":"Ayah"}],"accessed":{"date-parts":[["2024",2,22]]},"issued":{"date-parts":[["2021",9]]}}}],"schema":"https://github.com/citation-style-language/schema/raw/master/csl-citation.json"} </w:instrText>
      </w:r>
      <w:r>
        <w:rPr>
          <w:rFonts w:ascii="Times New Roman" w:hAnsi="Times New Roman" w:cs="Times New Roman"/>
          <w:color w:val="000000"/>
          <w:sz w:val="24"/>
        </w:rPr>
        <w:fldChar w:fldCharType="separate"/>
      </w:r>
      <w:r>
        <w:rPr>
          <w:rFonts w:ascii="Times New Roman" w:hAnsi="Times New Roman" w:cs="Times New Roman"/>
          <w:color w:val="000000"/>
          <w:sz w:val="24"/>
        </w:rPr>
        <w:t>Emara et El Said (2021)</w:t>
      </w:r>
      <w:r>
        <w:rPr>
          <w:rFonts w:ascii="Times New Roman" w:hAnsi="Times New Roman" w:cs="Times New Roman"/>
          <w:color w:val="000000"/>
          <w:sz w:val="24"/>
        </w:rPr>
        <w:fldChar w:fldCharType="end"/>
      </w:r>
      <w:r>
        <w:rPr>
          <w:rFonts w:ascii="Times New Roman" w:hAnsi="Times New Roman" w:cs="Times New Roman"/>
          <w:color w:val="000000"/>
          <w:sz w:val="24"/>
        </w:rPr>
        <w:t xml:space="preserve"> montrent que le développement financier a un impact positif sur la croissance du PIB par habitant dans</w:t>
      </w:r>
      <w:r w:rsidR="00692A87">
        <w:rPr>
          <w:rFonts w:ascii="Times New Roman" w:hAnsi="Times New Roman" w:cs="Times New Roman"/>
          <w:color w:val="000000"/>
          <w:sz w:val="24"/>
        </w:rPr>
        <w:t xml:space="preserve"> le</w:t>
      </w:r>
      <w:r w:rsidR="007F1CAD">
        <w:rPr>
          <w:rFonts w:ascii="Times New Roman" w:hAnsi="Times New Roman" w:cs="Times New Roman"/>
          <w:color w:val="000000"/>
          <w:sz w:val="24"/>
        </w:rPr>
        <w:t xml:space="preserve"> </w:t>
      </w:r>
      <w:r w:rsidR="007F1CAD" w:rsidRPr="007F1CAD">
        <w:rPr>
          <w:rFonts w:ascii="Times New Roman" w:hAnsi="Times New Roman" w:cs="Times New Roman"/>
          <w:color w:val="000000"/>
          <w:sz w:val="24"/>
        </w:rPr>
        <w:t>Moyen-Orient</w:t>
      </w:r>
      <w:r w:rsidR="00692A87">
        <w:rPr>
          <w:rFonts w:ascii="Times New Roman" w:hAnsi="Times New Roman" w:cs="Times New Roman"/>
          <w:color w:val="000000"/>
          <w:sz w:val="24"/>
        </w:rPr>
        <w:t>,</w:t>
      </w:r>
      <w:r w:rsidR="007F1CAD" w:rsidRPr="007F1CAD">
        <w:rPr>
          <w:rFonts w:ascii="Times New Roman" w:hAnsi="Times New Roman" w:cs="Times New Roman"/>
          <w:color w:val="000000"/>
          <w:sz w:val="24"/>
        </w:rPr>
        <w:t xml:space="preserve"> </w:t>
      </w:r>
      <w:r w:rsidR="00692A87">
        <w:rPr>
          <w:rFonts w:ascii="Times New Roman" w:hAnsi="Times New Roman" w:cs="Times New Roman"/>
          <w:color w:val="000000"/>
          <w:sz w:val="24"/>
        </w:rPr>
        <w:t>l’</w:t>
      </w:r>
      <w:r w:rsidR="007F1CAD" w:rsidRPr="007F1CAD">
        <w:rPr>
          <w:rFonts w:ascii="Times New Roman" w:hAnsi="Times New Roman" w:cs="Times New Roman"/>
          <w:color w:val="000000"/>
          <w:sz w:val="24"/>
        </w:rPr>
        <w:t>Afrique du Nord</w:t>
      </w:r>
      <w:r w:rsidR="00692A87">
        <w:rPr>
          <w:rFonts w:ascii="Times New Roman" w:hAnsi="Times New Roman" w:cs="Times New Roman"/>
          <w:color w:val="000000"/>
          <w:sz w:val="24"/>
        </w:rPr>
        <w:t xml:space="preserve"> et</w:t>
      </w:r>
      <w:r>
        <w:rPr>
          <w:rFonts w:ascii="Times New Roman" w:hAnsi="Times New Roman" w:cs="Times New Roman"/>
          <w:color w:val="000000"/>
          <w:sz w:val="24"/>
        </w:rPr>
        <w:t xml:space="preserve"> la région MENA. Les données couvrent la période 1960-2015. L'espace d'étude concerne quarante-quatre (44) pays émergents du Moyen-Orient et de l’Afrique du Nord. </w:t>
      </w:r>
      <w:r>
        <w:rPr>
          <w:rFonts w:ascii="Times New Roman" w:hAnsi="Times New Roman" w:cs="Times New Roman"/>
          <w:color w:val="000000"/>
          <w:sz w:val="24"/>
        </w:rPr>
        <w:fldChar w:fldCharType="begin"/>
      </w:r>
      <w:r>
        <w:rPr>
          <w:rFonts w:ascii="Times New Roman" w:hAnsi="Times New Roman" w:cs="Times New Roman"/>
          <w:color w:val="000000"/>
          <w:sz w:val="24"/>
        </w:rPr>
        <w:instrText xml:space="preserve"> ADDIN ZOTERO_ITEM CSL_CITATION {"citationID":"eycnowoN","properties":{"formattedCitation":"(Sal\\uc0\\u233{} &amp; Chok, 2022)","plainCitation":"(Salé &amp; Chok, 2022)","dontUpdate":true,"noteIndex":0},"citationItems":[{"id":1119,"uris":["http://zotero.org/users/local/7lArfcMW/items/JR42KKY2"],"itemData":{"id":1119,"type":"article-journal","abstract":"In this article, we examine the role of financial development (stock markets and financial institutions) on the economic growth of the 10 countries of the MENA region. Most empirical studies in the literature measure the level of financial development using a single measure, total credit to the private sector from banks and other financial institutions as a percentage of GDP. To overcome this problem, we use index measures for the development of financial institutions and the development of stock markets.","issue":"2","language":"fr","source":"Zotero","title":"Développement financier et croissance économique dans la région MENA : Une approche en données de panel, SEKALI, J. 1 et LAKHLOUFI, T.2","volume":"4","author":[{"family":"Salé","given":"FSJES"},{"family":"Chok","given":"FSJES Ain"}],"issued":{"date-parts":[["2022"]]}}}],"schema":"https://github.com/citation-style-language/schema/raw/master/csl-citation.json"} </w:instrText>
      </w:r>
      <w:r>
        <w:rPr>
          <w:rFonts w:ascii="Times New Roman" w:hAnsi="Times New Roman" w:cs="Times New Roman"/>
          <w:color w:val="000000"/>
          <w:sz w:val="24"/>
        </w:rPr>
        <w:fldChar w:fldCharType="separate"/>
      </w:r>
      <w:r>
        <w:rPr>
          <w:rFonts w:ascii="Times New Roman" w:hAnsi="Times New Roman" w:cs="Times New Roman"/>
          <w:color w:val="000000"/>
          <w:sz w:val="24"/>
        </w:rPr>
        <w:t>Salé et Chok (2022)</w:t>
      </w:r>
      <w:r>
        <w:rPr>
          <w:rFonts w:ascii="Times New Roman" w:hAnsi="Times New Roman" w:cs="Times New Roman"/>
          <w:color w:val="000000"/>
          <w:sz w:val="24"/>
        </w:rPr>
        <w:fldChar w:fldCharType="end"/>
      </w:r>
      <w:r>
        <w:rPr>
          <w:rFonts w:ascii="Times New Roman" w:hAnsi="Times New Roman" w:cs="Times New Roman"/>
          <w:color w:val="000000"/>
          <w:sz w:val="24"/>
        </w:rPr>
        <w:t xml:space="preserve"> ont examiné le rôle du marché boursier et des institutions financières sur la croissance économique des dix (10) pays de la région du MENA en utilisant un modèle ARDL avec un estimateur PMG. Ces résultats démontrent que les institutions financières influencent positivement la croissance économique de ces pays. Les résultats empiriques, bien que souvent convergents, révèlent des contradictions qui soulignent qu'aucune théorie unique ne parvient à expliquer pleinement la complexité des faits observés. Plusieurs facteurs peuvent expliquer ces ambiguïtés. Parmi les critiques formulées à l'encontre des recherches antérieures, l'endogénéité des indicateurs financiers est particulièrement mise en avant.</w:t>
      </w:r>
    </w:p>
    <w:p w14:paraId="621AD3C7" w14:textId="558CD30C" w:rsidR="003A1034" w:rsidRDefault="00F93D0E">
      <w:pPr>
        <w:spacing w:line="240" w:lineRule="auto"/>
        <w:jc w:val="both"/>
        <w:rPr>
          <w:rFonts w:ascii="Times New Roman" w:hAnsi="Times New Roman" w:cs="Times New Roman"/>
          <w:color w:val="000000"/>
          <w:sz w:val="24"/>
        </w:rPr>
      </w:pPr>
      <w:r>
        <w:rPr>
          <w:rFonts w:ascii="Times New Roman" w:hAnsi="Times New Roman" w:cs="Times New Roman"/>
          <w:color w:val="000000"/>
          <w:sz w:val="24"/>
        </w:rPr>
        <w:t xml:space="preserve">Cette section </w:t>
      </w:r>
      <w:r w:rsidR="00C75D22">
        <w:rPr>
          <w:rFonts w:ascii="Times New Roman" w:hAnsi="Times New Roman" w:cs="Times New Roman"/>
          <w:color w:val="000000"/>
          <w:sz w:val="24"/>
        </w:rPr>
        <w:t>a permis</w:t>
      </w:r>
      <w:r>
        <w:rPr>
          <w:rFonts w:ascii="Times New Roman" w:hAnsi="Times New Roman" w:cs="Times New Roman"/>
          <w:color w:val="000000"/>
          <w:sz w:val="24"/>
        </w:rPr>
        <w:t xml:space="preserve"> </w:t>
      </w:r>
      <w:r w:rsidR="00021990">
        <w:rPr>
          <w:rFonts w:ascii="Times New Roman" w:hAnsi="Times New Roman" w:cs="Times New Roman"/>
          <w:color w:val="000000"/>
          <w:sz w:val="24"/>
        </w:rPr>
        <w:t>de faire la revue</w:t>
      </w:r>
      <w:r>
        <w:rPr>
          <w:rFonts w:ascii="Times New Roman" w:hAnsi="Times New Roman" w:cs="Times New Roman"/>
          <w:color w:val="000000"/>
          <w:sz w:val="24"/>
        </w:rPr>
        <w:t xml:space="preserve"> empirique de la relation entre le développement financier et la croissance économique dans les pays en développement. </w:t>
      </w:r>
      <w:r w:rsidR="00EF4C01">
        <w:rPr>
          <w:rFonts w:ascii="Times New Roman" w:hAnsi="Times New Roman" w:cs="Times New Roman"/>
          <w:color w:val="000000"/>
          <w:sz w:val="24"/>
        </w:rPr>
        <w:t>Cette revue a permis de mont</w:t>
      </w:r>
      <w:r w:rsidR="00546EDA">
        <w:rPr>
          <w:rFonts w:ascii="Times New Roman" w:hAnsi="Times New Roman" w:cs="Times New Roman"/>
          <w:color w:val="000000"/>
          <w:sz w:val="24"/>
        </w:rPr>
        <w:t>rer</w:t>
      </w:r>
      <w:r w:rsidR="00EF4C01">
        <w:rPr>
          <w:rFonts w:ascii="Times New Roman" w:hAnsi="Times New Roman" w:cs="Times New Roman"/>
          <w:color w:val="000000"/>
          <w:sz w:val="24"/>
        </w:rPr>
        <w:t xml:space="preserve"> </w:t>
      </w:r>
      <w:r w:rsidR="00546EDA">
        <w:rPr>
          <w:rFonts w:ascii="Times New Roman" w:hAnsi="Times New Roman" w:cs="Times New Roman"/>
          <w:color w:val="000000"/>
          <w:sz w:val="24"/>
        </w:rPr>
        <w:t xml:space="preserve">que </w:t>
      </w:r>
      <w:r>
        <w:rPr>
          <w:rFonts w:ascii="Times New Roman" w:hAnsi="Times New Roman" w:cs="Times New Roman"/>
          <w:color w:val="000000"/>
          <w:sz w:val="24"/>
        </w:rPr>
        <w:t>le lien est ambigu et dépend de plusieurs facteurs.</w:t>
      </w:r>
    </w:p>
    <w:p w14:paraId="3A3B626B" w14:textId="77777777" w:rsidR="003A1034" w:rsidRDefault="00F93D0E">
      <w:pPr>
        <w:pStyle w:val="NormalWeb"/>
        <w:numPr>
          <w:ilvl w:val="0"/>
          <w:numId w:val="1"/>
        </w:numPr>
        <w:spacing w:line="276" w:lineRule="auto"/>
        <w:jc w:val="both"/>
        <w:rPr>
          <w:b/>
          <w:color w:val="000000" w:themeColor="text1"/>
        </w:rPr>
      </w:pPr>
      <w:bookmarkStart w:id="0" w:name="_Toc500706289"/>
      <w:r>
        <w:rPr>
          <w:b/>
          <w:color w:val="000000" w:themeColor="text1"/>
        </w:rPr>
        <w:t>Analyses empiriques</w:t>
      </w:r>
      <w:bookmarkEnd w:id="0"/>
    </w:p>
    <w:p w14:paraId="133B76A5" w14:textId="1DCC5EAE" w:rsidR="003A1034" w:rsidRDefault="00C1316E">
      <w:pPr>
        <w:spacing w:line="240" w:lineRule="auto"/>
        <w:jc w:val="both"/>
        <w:rPr>
          <w:rFonts w:ascii="Times New Roman" w:hAnsi="Times New Roman" w:cs="Times New Roman"/>
          <w:sz w:val="24"/>
        </w:rPr>
      </w:pPr>
      <w:r>
        <w:rPr>
          <w:rFonts w:ascii="Times New Roman" w:hAnsi="Times New Roman" w:cs="Times New Roman"/>
          <w:sz w:val="24"/>
        </w:rPr>
        <w:t>C</w:t>
      </w:r>
      <w:r w:rsidR="00F93D0E">
        <w:rPr>
          <w:rFonts w:ascii="Times New Roman" w:hAnsi="Times New Roman" w:cs="Times New Roman"/>
          <w:sz w:val="24"/>
        </w:rPr>
        <w:t>ette partie</w:t>
      </w:r>
      <w:r w:rsidR="00C75D22">
        <w:rPr>
          <w:rFonts w:ascii="Times New Roman" w:hAnsi="Times New Roman" w:cs="Times New Roman"/>
          <w:sz w:val="24"/>
        </w:rPr>
        <w:t xml:space="preserve"> </w:t>
      </w:r>
      <w:r w:rsidR="00F93D0E">
        <w:rPr>
          <w:rFonts w:ascii="Times New Roman" w:hAnsi="Times New Roman" w:cs="Times New Roman"/>
          <w:sz w:val="24"/>
        </w:rPr>
        <w:t>présente le modèle choisi, la méthodologie utilisée et enfin l’analyse des résultats.</w:t>
      </w:r>
    </w:p>
    <w:p w14:paraId="6B434E43" w14:textId="77777777" w:rsidR="003A1034" w:rsidRDefault="00F93D0E">
      <w:pPr>
        <w:pStyle w:val="NormalWeb"/>
        <w:numPr>
          <w:ilvl w:val="1"/>
          <w:numId w:val="2"/>
        </w:numPr>
        <w:spacing w:line="276" w:lineRule="auto"/>
        <w:jc w:val="both"/>
        <w:rPr>
          <w:b/>
          <w:color w:val="000000" w:themeColor="text1"/>
        </w:rPr>
      </w:pPr>
      <w:bookmarkStart w:id="1" w:name="_Toc500706290"/>
      <w:r>
        <w:rPr>
          <w:b/>
          <w:color w:val="000000" w:themeColor="text1"/>
        </w:rPr>
        <w:t>Choix du modèle</w:t>
      </w:r>
      <w:bookmarkEnd w:id="1"/>
      <w:r>
        <w:rPr>
          <w:b/>
          <w:color w:val="000000" w:themeColor="text1"/>
        </w:rPr>
        <w:t xml:space="preserve"> </w:t>
      </w:r>
    </w:p>
    <w:p w14:paraId="101E54A2" w14:textId="1156548B" w:rsidR="003A1034" w:rsidRDefault="00F93D0E">
      <w:pPr>
        <w:spacing w:line="240" w:lineRule="auto"/>
        <w:jc w:val="both"/>
        <w:rPr>
          <w:rFonts w:ascii="Times New Roman" w:hAnsi="Times New Roman" w:cs="Times New Roman"/>
          <w:sz w:val="24"/>
        </w:rPr>
      </w:pPr>
      <w:r>
        <w:rPr>
          <w:rFonts w:ascii="Times New Roman" w:hAnsi="Times New Roman" w:cs="Times New Roman"/>
          <w:sz w:val="24"/>
        </w:rPr>
        <w:t>Pour formuler les interactions entre le secteur financier et le secteur réel</w:t>
      </w:r>
      <w:r w:rsidR="00524031">
        <w:rPr>
          <w:rFonts w:ascii="Times New Roman" w:hAnsi="Times New Roman" w:cs="Times New Roman"/>
          <w:sz w:val="24"/>
        </w:rPr>
        <w:t>,</w:t>
      </w:r>
      <w:r>
        <w:rPr>
          <w:rFonts w:ascii="Times New Roman" w:hAnsi="Times New Roman" w:cs="Times New Roman"/>
          <w:sz w:val="24"/>
        </w:rPr>
        <w:t xml:space="preserve"> nous utilisons le modèle de Pagano (1993). Le modèle de Pagano (1993) explique les mécanismes par lesquels l'approfondissement financier accélère la croissance </w:t>
      </w:r>
      <w:r>
        <w:rPr>
          <w:rFonts w:ascii="Times New Roman" w:hAnsi="Times New Roman" w:cs="Times New Roman"/>
          <w:color w:val="000000" w:themeColor="text1"/>
          <w:sz w:val="24"/>
        </w:rPr>
        <w:t>économique</w:t>
      </w:r>
      <w:r>
        <w:rPr>
          <w:rFonts w:ascii="Times New Roman" w:hAnsi="Times New Roman" w:cs="Times New Roman"/>
          <w:sz w:val="24"/>
        </w:rPr>
        <w:t xml:space="preserve">. </w:t>
      </w:r>
      <w:r>
        <w:rPr>
          <w:rFonts w:ascii="Times New Roman" w:hAnsi="Times New Roman" w:cs="Times New Roman"/>
          <w:color w:val="000000" w:themeColor="text1"/>
          <w:sz w:val="24"/>
          <w:szCs w:val="24"/>
        </w:rPr>
        <w:t xml:space="preserve">Considérons le modèle de croissance endogène développé par Pagano (1993). Le modèle « AK » où la production globale est une fonction linéaire du capital : </w:t>
      </w:r>
    </w:p>
    <w:p w14:paraId="76A17ABA" w14:textId="77777777" w:rsidR="003A1034" w:rsidRDefault="001B4F1E">
      <w:pPr>
        <w:ind w:firstLine="360"/>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=A</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t</m:t>
            </m:r>
          </m:sub>
        </m:sSub>
      </m:oMath>
      <w:r w:rsidR="00F93D0E">
        <w:rPr>
          <w:rFonts w:ascii="Times New Roman" w:eastAsiaTheme="minorEastAsia" w:hAnsi="Times New Roman" w:cs="Times New Roman"/>
          <w:color w:val="000000" w:themeColor="text1"/>
          <w:sz w:val="24"/>
          <w:szCs w:val="24"/>
        </w:rPr>
        <w:t xml:space="preserve">                                             (1)</w:t>
      </w:r>
    </w:p>
    <w:p w14:paraId="2BEE3466" w14:textId="77777777" w:rsidR="003A1034" w:rsidRDefault="00F93D0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Supposons que la production est stationnaire et que l’économie produit un bien unique qui peut être investi ou consommé. S’il est investi, il se déprécie au taux </w:t>
      </w:r>
      <m:oMath>
        <m:r>
          <w:rPr>
            <w:rFonts w:ascii="Cambria Math" w:hAnsi="Cambria Math" w:cs="Times New Roman"/>
            <w:color w:val="000000" w:themeColor="text1"/>
            <w:sz w:val="24"/>
            <w:szCs w:val="24"/>
          </w:rPr>
          <m:t>δ</m:t>
        </m:r>
      </m:oMath>
      <w:r>
        <w:rPr>
          <w:rFonts w:ascii="Times New Roman" w:hAnsi="Times New Roman" w:cs="Times New Roman"/>
          <w:color w:val="000000" w:themeColor="text1"/>
          <w:sz w:val="24"/>
          <w:szCs w:val="24"/>
        </w:rPr>
        <w:t xml:space="preserve"> par période. L’investissement brut est alors égal :</w:t>
      </w:r>
    </w:p>
    <w:p w14:paraId="6C5CE639" w14:textId="77777777" w:rsidR="003A1034" w:rsidRDefault="001B4F1E">
      <w:pPr>
        <w:jc w:val="both"/>
        <w:rPr>
          <w:rFonts w:ascii="Times New Roman" w:hAnsi="Times New Roman" w:cs="Times New Roman"/>
          <w:color w:val="000000" w:themeColor="text1"/>
          <w:sz w:val="24"/>
          <w:szCs w:val="24"/>
        </w:rPr>
      </w:pPr>
      <m:oMath>
        <m:sSub>
          <m:sSubPr>
            <m:ctrlPr>
              <w:rPr>
                <w:rFonts w:ascii="Cambria Math" w:hAnsi="Cambria Math" w:cs="Times New Roman"/>
                <w:i/>
                <w:color w:val="222222"/>
                <w:sz w:val="24"/>
                <w:szCs w:val="24"/>
              </w:rPr>
            </m:ctrlPr>
          </m:sSubPr>
          <m:e>
            <m:r>
              <w:rPr>
                <w:rFonts w:ascii="Cambria Math" w:hAnsi="Cambria Math" w:cs="Times New Roman"/>
                <w:color w:val="222222"/>
                <w:sz w:val="24"/>
                <w:szCs w:val="24"/>
              </w:rPr>
              <m:t>I</m:t>
            </m:r>
          </m:e>
          <m:sub>
            <m:r>
              <w:rPr>
                <w:rFonts w:ascii="Cambria Math" w:hAnsi="Cambria Math" w:cs="Times New Roman"/>
                <w:color w:val="222222"/>
                <w:sz w:val="24"/>
                <w:szCs w:val="24"/>
              </w:rPr>
              <m:t>t</m:t>
            </m:r>
          </m:sub>
        </m:sSub>
        <m:r>
          <w:rPr>
            <w:rFonts w:ascii="Cambria Math" w:hAnsi="Cambria Math" w:cs="Times New Roman"/>
            <w:color w:val="222222"/>
            <w:sz w:val="24"/>
            <w:szCs w:val="24"/>
          </w:rPr>
          <m:t>=</m:t>
        </m:r>
        <m:sSub>
          <m:sSubPr>
            <m:ctrlPr>
              <w:rPr>
                <w:rFonts w:ascii="Cambria Math" w:hAnsi="Cambria Math" w:cs="Times New Roman"/>
                <w:i/>
                <w:color w:val="222222"/>
                <w:sz w:val="24"/>
                <w:szCs w:val="24"/>
              </w:rPr>
            </m:ctrlPr>
          </m:sSubPr>
          <m:e>
            <m:r>
              <w:rPr>
                <w:rFonts w:ascii="Cambria Math" w:hAnsi="Cambria Math" w:cs="Times New Roman"/>
                <w:color w:val="222222"/>
                <w:sz w:val="24"/>
                <w:szCs w:val="24"/>
              </w:rPr>
              <m:t>K</m:t>
            </m:r>
          </m:e>
          <m:sub>
            <m:r>
              <w:rPr>
                <w:rFonts w:ascii="Cambria Math" w:hAnsi="Cambria Math" w:cs="Times New Roman"/>
                <w:color w:val="222222"/>
                <w:sz w:val="24"/>
                <w:szCs w:val="24"/>
              </w:rPr>
              <m:t>t+1</m:t>
            </m:r>
          </m:sub>
        </m:sSub>
        <m:r>
          <w:rPr>
            <w:rFonts w:ascii="Cambria Math" w:hAnsi="Cambria Math" w:cs="Times New Roman"/>
            <w:color w:val="222222"/>
            <w:sz w:val="24"/>
            <w:szCs w:val="24"/>
          </w:rPr>
          <m:t>-(1-</m:t>
        </m:r>
        <m:r>
          <w:rPr>
            <w:rFonts w:ascii="Cambria Math" w:hAnsi="Cambria Math" w:cs="Times New Roman"/>
            <w:color w:val="000000" w:themeColor="text1"/>
            <w:sz w:val="24"/>
            <w:szCs w:val="24"/>
          </w:rPr>
          <m:t xml:space="preserve"> δ)</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t</m:t>
            </m:r>
          </m:sub>
        </m:sSub>
      </m:oMath>
      <w:r w:rsidR="00F93D0E">
        <w:rPr>
          <w:rFonts w:ascii="Times New Roman" w:eastAsiaTheme="minorEastAsia" w:hAnsi="Times New Roman" w:cs="Times New Roman"/>
          <w:color w:val="000000" w:themeColor="text1"/>
          <w:sz w:val="24"/>
          <w:szCs w:val="24"/>
        </w:rPr>
        <w:t xml:space="preserve">                           (2)</w:t>
      </w:r>
    </w:p>
    <w:p w14:paraId="42F90940" w14:textId="77777777" w:rsidR="003A1034" w:rsidRDefault="00F93D0E">
      <w:pPr>
        <w:spacing w:line="240" w:lineRule="auto"/>
        <w:jc w:val="both"/>
        <w:rPr>
          <w:rFonts w:ascii="Times New Roman" w:hAnsi="Times New Roman" w:cs="Times New Roman"/>
          <w:color w:val="222222"/>
          <w:sz w:val="24"/>
        </w:rPr>
      </w:pPr>
      <w:r>
        <w:rPr>
          <w:rFonts w:ascii="Times New Roman" w:hAnsi="Times New Roman" w:cs="Times New Roman"/>
          <w:color w:val="222222"/>
          <w:sz w:val="24"/>
        </w:rPr>
        <w:t xml:space="preserve">Dans une économie fermée sans gouvernement, l'équilibre du marché des capitaux exige que l’épargne brute </w:t>
      </w:r>
      <m:oMath>
        <m:sSub>
          <m:sSubPr>
            <m:ctrlPr>
              <w:rPr>
                <w:rFonts w:ascii="Cambria Math" w:hAnsi="Cambria Math" w:cs="Times New Roman"/>
                <w:i/>
                <w:color w:val="222222"/>
                <w:sz w:val="24"/>
              </w:rPr>
            </m:ctrlPr>
          </m:sSubPr>
          <m:e>
            <m:r>
              <w:rPr>
                <w:rFonts w:ascii="Cambria Math" w:hAnsi="Cambria Math" w:cs="Times New Roman"/>
                <w:color w:val="222222"/>
                <w:sz w:val="24"/>
              </w:rPr>
              <m:t>S</m:t>
            </m:r>
          </m:e>
          <m:sub>
            <m:r>
              <w:rPr>
                <w:rFonts w:ascii="Cambria Math" w:hAnsi="Cambria Math" w:cs="Times New Roman"/>
                <w:color w:val="222222"/>
                <w:sz w:val="24"/>
              </w:rPr>
              <m:t xml:space="preserve">t </m:t>
            </m:r>
          </m:sub>
        </m:sSub>
      </m:oMath>
      <w:r>
        <w:rPr>
          <w:rFonts w:ascii="Times New Roman" w:eastAsiaTheme="minorEastAsia" w:hAnsi="Times New Roman" w:cs="Times New Roman"/>
          <w:color w:val="222222"/>
          <w:sz w:val="24"/>
        </w:rPr>
        <w:t xml:space="preserve"> </w:t>
      </w:r>
      <w:r>
        <w:rPr>
          <w:rFonts w:ascii="Times New Roman" w:hAnsi="Times New Roman" w:cs="Times New Roman"/>
          <w:color w:val="222222"/>
          <w:sz w:val="24"/>
        </w:rPr>
        <w:t>soit égale à l'investissement brut</w:t>
      </w:r>
      <m:oMath>
        <m:r>
          <w:rPr>
            <w:rFonts w:ascii="Cambria Math" w:hAnsi="Cambria Math" w:cs="Times New Roman"/>
            <w:color w:val="222222"/>
            <w:sz w:val="24"/>
          </w:rPr>
          <m:t xml:space="preserve"> </m:t>
        </m:r>
        <m:sSub>
          <m:sSubPr>
            <m:ctrlPr>
              <w:rPr>
                <w:rFonts w:ascii="Cambria Math" w:hAnsi="Cambria Math" w:cs="Times New Roman"/>
                <w:i/>
                <w:color w:val="222222"/>
                <w:sz w:val="24"/>
              </w:rPr>
            </m:ctrlPr>
          </m:sSubPr>
          <m:e>
            <m:r>
              <w:rPr>
                <w:rFonts w:ascii="Cambria Math" w:hAnsi="Cambria Math" w:cs="Times New Roman"/>
                <w:color w:val="222222"/>
                <w:sz w:val="24"/>
              </w:rPr>
              <m:t>I</m:t>
            </m:r>
          </m:e>
          <m:sub>
            <m:r>
              <w:rPr>
                <w:rFonts w:ascii="Cambria Math" w:hAnsi="Cambria Math" w:cs="Times New Roman"/>
                <w:color w:val="222222"/>
                <w:sz w:val="24"/>
              </w:rPr>
              <m:t>t</m:t>
            </m:r>
          </m:sub>
        </m:sSub>
      </m:oMath>
      <w:r>
        <w:rPr>
          <w:rFonts w:ascii="Times New Roman" w:hAnsi="Times New Roman" w:cs="Times New Roman"/>
          <w:color w:val="222222"/>
          <w:sz w:val="24"/>
        </w:rPr>
        <w:t xml:space="preserve">. Supposons qu'une proportion de </w:t>
      </w:r>
      <m:oMath>
        <m:r>
          <w:rPr>
            <w:rFonts w:ascii="Cambria Math" w:hAnsi="Cambria Math" w:cs="Times New Roman"/>
            <w:color w:val="222222"/>
            <w:sz w:val="24"/>
          </w:rPr>
          <m:t xml:space="preserve">1-∅ </m:t>
        </m:r>
      </m:oMath>
      <w:r>
        <w:rPr>
          <w:rFonts w:ascii="Times New Roman" w:hAnsi="Times New Roman" w:cs="Times New Roman"/>
          <w:color w:val="222222"/>
          <w:sz w:val="24"/>
        </w:rPr>
        <w:t>du flux d'épargne est « perdue » dans le processus d’intermédiation financière.</w:t>
      </w:r>
    </w:p>
    <w:p w14:paraId="66E4AF7E" w14:textId="77777777" w:rsidR="003A1034" w:rsidRDefault="00F93D0E">
      <w:pPr>
        <w:ind w:firstLine="360"/>
        <w:jc w:val="both"/>
        <w:rPr>
          <w:rFonts w:ascii="Times New Roman" w:hAnsi="Times New Roman" w:cs="Times New Roman"/>
          <w:color w:val="222222"/>
          <w:sz w:val="24"/>
          <w:szCs w:val="24"/>
        </w:rPr>
      </w:pPr>
      <m:oMath>
        <m:r>
          <w:rPr>
            <w:rFonts w:ascii="Cambria Math" w:hAnsi="Cambria Math" w:cs="Times New Roman"/>
            <w:color w:val="222222"/>
            <w:sz w:val="24"/>
            <w:szCs w:val="24"/>
          </w:rPr>
          <w:lastRenderedPageBreak/>
          <m:t xml:space="preserve">∅ </m:t>
        </m:r>
        <m:sSub>
          <m:sSubPr>
            <m:ctrlPr>
              <w:rPr>
                <w:rFonts w:ascii="Cambria Math" w:hAnsi="Cambria Math" w:cs="Times New Roman"/>
                <w:i/>
                <w:color w:val="222222"/>
                <w:sz w:val="24"/>
                <w:szCs w:val="24"/>
              </w:rPr>
            </m:ctrlPr>
          </m:sSubPr>
          <m:e>
            <m:r>
              <w:rPr>
                <w:rFonts w:ascii="Cambria Math" w:hAnsi="Cambria Math" w:cs="Times New Roman"/>
                <w:color w:val="222222"/>
                <w:sz w:val="24"/>
                <w:szCs w:val="24"/>
              </w:rPr>
              <m:t>S</m:t>
            </m:r>
          </m:e>
          <m:sub>
            <m:r>
              <w:rPr>
                <w:rFonts w:ascii="Cambria Math" w:hAnsi="Cambria Math" w:cs="Times New Roman"/>
                <w:color w:val="222222"/>
                <w:sz w:val="24"/>
                <w:szCs w:val="24"/>
              </w:rPr>
              <m:t>t</m:t>
            </m:r>
          </m:sub>
        </m:sSub>
        <m:r>
          <w:rPr>
            <w:rFonts w:ascii="Cambria Math" w:hAnsi="Cambria Math" w:cs="Times New Roman"/>
            <w:color w:val="222222"/>
            <w:sz w:val="24"/>
            <w:szCs w:val="24"/>
          </w:rPr>
          <m:t>=</m:t>
        </m:r>
        <m:sSub>
          <m:sSubPr>
            <m:ctrlPr>
              <w:rPr>
                <w:rFonts w:ascii="Cambria Math" w:hAnsi="Cambria Math" w:cs="Times New Roman"/>
                <w:i/>
                <w:color w:val="222222"/>
                <w:sz w:val="24"/>
                <w:szCs w:val="24"/>
              </w:rPr>
            </m:ctrlPr>
          </m:sSubPr>
          <m:e>
            <m:r>
              <w:rPr>
                <w:rFonts w:ascii="Cambria Math" w:hAnsi="Cambria Math" w:cs="Times New Roman"/>
                <w:color w:val="222222"/>
                <w:sz w:val="24"/>
                <w:szCs w:val="24"/>
              </w:rPr>
              <m:t>I</m:t>
            </m:r>
          </m:e>
          <m:sub>
            <m:r>
              <w:rPr>
                <w:rFonts w:ascii="Cambria Math" w:hAnsi="Cambria Math" w:cs="Times New Roman"/>
                <w:color w:val="222222"/>
                <w:sz w:val="24"/>
                <w:szCs w:val="24"/>
              </w:rPr>
              <m:t>t</m:t>
            </m:r>
          </m:sub>
        </m:sSub>
      </m:oMath>
      <w:r>
        <w:rPr>
          <w:rFonts w:ascii="Times New Roman" w:eastAsiaTheme="minorEastAsia" w:hAnsi="Times New Roman" w:cs="Times New Roman"/>
          <w:color w:val="222222"/>
          <w:sz w:val="24"/>
          <w:szCs w:val="24"/>
        </w:rPr>
        <w:t xml:space="preserve">                        (3)</w:t>
      </w:r>
    </w:p>
    <w:p w14:paraId="6E2D6D68" w14:textId="77777777" w:rsidR="003A1034" w:rsidRDefault="00F93D0E">
      <w:pPr>
        <w:ind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 taux de croissance de l’année </w:t>
      </w:r>
      <m:oMath>
        <m:r>
          <w:rPr>
            <w:rFonts w:ascii="Cambria Math" w:hAnsi="Cambria Math" w:cs="Times New Roman"/>
            <w:color w:val="000000" w:themeColor="text1"/>
            <w:sz w:val="24"/>
            <w:szCs w:val="24"/>
          </w:rPr>
          <m:t>t+1</m:t>
        </m:r>
      </m:oMath>
      <w:r>
        <w:rPr>
          <w:rFonts w:ascii="Times New Roman" w:eastAsiaTheme="minorEastAsia" w:hAnsi="Times New Roman" w:cs="Times New Roman"/>
          <w:color w:val="000000" w:themeColor="text1"/>
          <w:sz w:val="24"/>
          <w:szCs w:val="24"/>
        </w:rPr>
        <w:t xml:space="preserve"> s’écrit, en tenant compte de (1)</w:t>
      </w:r>
    </w:p>
    <w:p w14:paraId="5FCB198D" w14:textId="77777777" w:rsidR="003A1034" w:rsidRDefault="001B4F1E">
      <w:pPr>
        <w:ind w:firstLine="360"/>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t</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t</m:t>
                </m:r>
              </m:sub>
            </m:sSub>
          </m:den>
        </m:f>
      </m:oMath>
      <w:r w:rsidR="00F93D0E">
        <w:rPr>
          <w:rFonts w:ascii="Times New Roman" w:eastAsiaTheme="minorEastAsia" w:hAnsi="Times New Roman" w:cs="Times New Roman"/>
          <w:color w:val="000000" w:themeColor="text1"/>
          <w:sz w:val="24"/>
          <w:szCs w:val="24"/>
        </w:rPr>
        <w:t xml:space="preserve">= </w:t>
      </w:r>
      <m:oMath>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t+1</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t</m:t>
                </m:r>
              </m:sub>
            </m:sSub>
          </m:den>
        </m:f>
        <m:r>
          <w:rPr>
            <w:rFonts w:ascii="Cambria Math" w:hAnsi="Cambria Math" w:cs="Times New Roman"/>
            <w:color w:val="000000" w:themeColor="text1"/>
            <w:sz w:val="24"/>
            <w:szCs w:val="24"/>
          </w:rPr>
          <m:t>-1=</m:t>
        </m:r>
        <m:f>
          <m:fPr>
            <m:ctrlPr>
              <w:rPr>
                <w:rFonts w:ascii="Cambria Math" w:eastAsiaTheme="minorEastAsia" w:hAnsi="Cambria Math" w:cs="Times New Roman"/>
                <w:i/>
                <w:color w:val="000000" w:themeColor="text1"/>
                <w:sz w:val="24"/>
                <w:szCs w:val="24"/>
              </w:rPr>
            </m:ctrlPr>
          </m:fPr>
          <m:num>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K</m:t>
                </m:r>
              </m:e>
              <m:sub>
                <m:r>
                  <w:rPr>
                    <w:rFonts w:ascii="Cambria Math" w:eastAsiaTheme="minorEastAsia" w:hAnsi="Cambria Math" w:cs="Times New Roman"/>
                    <w:color w:val="000000" w:themeColor="text1"/>
                    <w:sz w:val="24"/>
                    <w:szCs w:val="24"/>
                  </w:rPr>
                  <m:t>t+1</m:t>
                </m:r>
              </m:sub>
            </m:sSub>
          </m:num>
          <m:den>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K</m:t>
                </m:r>
              </m:e>
              <m:sub>
                <m:r>
                  <w:rPr>
                    <w:rFonts w:ascii="Cambria Math" w:eastAsiaTheme="minorEastAsia" w:hAnsi="Cambria Math" w:cs="Times New Roman"/>
                    <w:color w:val="000000" w:themeColor="text1"/>
                    <w:sz w:val="24"/>
                    <w:szCs w:val="24"/>
                  </w:rPr>
                  <m:t>t</m:t>
                </m:r>
              </m:sub>
            </m:sSub>
          </m:den>
        </m:f>
        <m:r>
          <w:rPr>
            <w:rFonts w:ascii="Cambria Math" w:eastAsiaTheme="minorEastAsia" w:hAnsi="Cambria Math" w:cs="Times New Roman"/>
            <w:color w:val="000000" w:themeColor="text1"/>
            <w:sz w:val="24"/>
            <w:szCs w:val="24"/>
          </w:rPr>
          <m:t>-1</m:t>
        </m:r>
      </m:oMath>
      <w:r w:rsidR="00F93D0E">
        <w:rPr>
          <w:rFonts w:ascii="Times New Roman" w:eastAsiaTheme="minorEastAsia" w:hAnsi="Times New Roman" w:cs="Times New Roman"/>
          <w:color w:val="000000" w:themeColor="text1"/>
          <w:sz w:val="24"/>
          <w:szCs w:val="24"/>
        </w:rPr>
        <w:t xml:space="preserve">                        </w:t>
      </w:r>
      <w:proofErr w:type="gramStart"/>
      <w:r w:rsidR="00F93D0E">
        <w:rPr>
          <w:rFonts w:ascii="Times New Roman" w:eastAsiaTheme="minorEastAsia" w:hAnsi="Times New Roman" w:cs="Times New Roman"/>
          <w:color w:val="000000" w:themeColor="text1"/>
          <w:sz w:val="24"/>
          <w:szCs w:val="24"/>
        </w:rPr>
        <w:t xml:space="preserve">   (</w:t>
      </w:r>
      <w:proofErr w:type="gramEnd"/>
      <w:r w:rsidR="00F93D0E">
        <w:rPr>
          <w:rFonts w:ascii="Times New Roman" w:eastAsiaTheme="minorEastAsia" w:hAnsi="Times New Roman" w:cs="Times New Roman"/>
          <w:color w:val="000000" w:themeColor="text1"/>
          <w:sz w:val="24"/>
          <w:szCs w:val="24"/>
        </w:rPr>
        <w:t>4)</w:t>
      </w:r>
    </w:p>
    <w:p w14:paraId="0DA03049" w14:textId="77777777" w:rsidR="003A1034" w:rsidRDefault="001B4F1E">
      <w:pPr>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 xml:space="preserve">     g</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222222"/>
                    <w:sz w:val="24"/>
                    <w:szCs w:val="24"/>
                  </w:rPr>
                </m:ctrlPr>
              </m:sSubPr>
              <m:e>
                <m:r>
                  <w:rPr>
                    <w:rFonts w:ascii="Cambria Math" w:hAnsi="Cambria Math" w:cs="Times New Roman"/>
                    <w:color w:val="222222"/>
                    <w:sz w:val="24"/>
                    <w:szCs w:val="24"/>
                  </w:rPr>
                  <m:t>I</m:t>
                </m:r>
              </m:e>
              <m:sub>
                <m:r>
                  <w:rPr>
                    <w:rFonts w:ascii="Cambria Math" w:hAnsi="Cambria Math" w:cs="Times New Roman"/>
                    <w:color w:val="222222"/>
                    <w:sz w:val="24"/>
                    <w:szCs w:val="24"/>
                  </w:rPr>
                  <m:t>t</m:t>
                </m:r>
              </m:sub>
            </m:sSub>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1-δ</m:t>
                </m:r>
              </m:e>
            </m:d>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K</m:t>
                </m:r>
              </m:e>
              <m:sub>
                <m:r>
                  <w:rPr>
                    <w:rFonts w:ascii="Cambria Math" w:eastAsiaTheme="minorEastAsia" w:hAnsi="Cambria Math" w:cs="Times New Roman"/>
                    <w:color w:val="000000" w:themeColor="text1"/>
                    <w:sz w:val="24"/>
                    <w:szCs w:val="24"/>
                  </w:rPr>
                  <m:t>t</m:t>
                </m:r>
              </m:sub>
            </m:sSub>
          </m:num>
          <m:den>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K</m:t>
                </m:r>
              </m:e>
              <m:sub>
                <m:r>
                  <w:rPr>
                    <w:rFonts w:ascii="Cambria Math" w:eastAsiaTheme="minorEastAsia" w:hAnsi="Cambria Math" w:cs="Times New Roman"/>
                    <w:color w:val="000000" w:themeColor="text1"/>
                    <w:sz w:val="24"/>
                    <w:szCs w:val="24"/>
                  </w:rPr>
                  <m:t>t</m:t>
                </m:r>
              </m:sub>
            </m:sSub>
          </m:den>
        </m:f>
        <m:r>
          <w:rPr>
            <w:rFonts w:ascii="Cambria Math" w:hAnsi="Cambria Math" w:cs="Times New Roman"/>
            <w:color w:val="000000" w:themeColor="text1"/>
            <w:sz w:val="24"/>
            <w:szCs w:val="24"/>
          </w:rPr>
          <m:t>-1=</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t</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1-δ</m:t>
                    </m:r>
                  </m:e>
                </m:d>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t</m:t>
                    </m:r>
                  </m:sub>
                </m:sSub>
              </m:num>
              <m:den>
                <m:r>
                  <w:rPr>
                    <w:rFonts w:ascii="Cambria Math" w:hAnsi="Cambria Math" w:cs="Times New Roman"/>
                    <w:color w:val="000000" w:themeColor="text1"/>
                    <w:sz w:val="24"/>
                    <w:szCs w:val="24"/>
                  </w:rPr>
                  <m:t>A</m:t>
                </m:r>
              </m:den>
            </m:f>
          </m:num>
          <m:den>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t</m:t>
                    </m:r>
                  </m:sub>
                </m:sSub>
              </m:num>
              <m:den>
                <m:r>
                  <w:rPr>
                    <w:rFonts w:ascii="Cambria Math" w:hAnsi="Cambria Math" w:cs="Times New Roman"/>
                    <w:color w:val="000000" w:themeColor="text1"/>
                    <w:sz w:val="24"/>
                    <w:szCs w:val="24"/>
                  </w:rPr>
                  <m:t>A</m:t>
                </m:r>
              </m:den>
            </m:f>
          </m:den>
        </m:f>
        <m:r>
          <w:rPr>
            <w:rFonts w:ascii="Cambria Math" w:hAnsi="Cambria Math" w:cs="Times New Roman"/>
            <w:color w:val="000000" w:themeColor="text1"/>
            <w:sz w:val="24"/>
            <w:szCs w:val="24"/>
          </w:rPr>
          <m:t>-1</m:t>
        </m:r>
      </m:oMath>
      <w:r w:rsidR="00F93D0E">
        <w:rPr>
          <w:rFonts w:ascii="Times New Roman" w:eastAsiaTheme="minorEastAsia" w:hAnsi="Times New Roman" w:cs="Times New Roman"/>
          <w:color w:val="000000" w:themeColor="text1"/>
          <w:sz w:val="24"/>
          <w:szCs w:val="24"/>
        </w:rPr>
        <w:t xml:space="preserve">               (5)</w:t>
      </w:r>
    </w:p>
    <w:p w14:paraId="55690FE0" w14:textId="77777777" w:rsidR="003A1034" w:rsidRDefault="001B4F1E">
      <w:pPr>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g</m:t>
            </m:r>
          </m:e>
          <m:sub>
            <m:r>
              <w:rPr>
                <w:rFonts w:ascii="Cambria Math" w:hAnsi="Cambria Math" w:cs="Times New Roman"/>
                <w:color w:val="000000" w:themeColor="text1"/>
                <w:sz w:val="24"/>
                <w:szCs w:val="24"/>
              </w:rPr>
              <m:t>t+1</m:t>
            </m:r>
          </m:sub>
        </m:sSub>
        <m:r>
          <w:rPr>
            <w:rFonts w:ascii="Cambria Math" w:hAnsi="Cambria Math" w:cs="Times New Roman"/>
            <w:color w:val="000000" w:themeColor="text1"/>
            <w:sz w:val="24"/>
            <w:szCs w:val="24"/>
          </w:rPr>
          <m:t>=A∅</m:t>
        </m:r>
        <m:f>
          <m:fPr>
            <m:ctrlPr>
              <w:rPr>
                <w:rFonts w:ascii="Cambria Math" w:eastAsiaTheme="minorEastAsia"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t</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t</m:t>
                </m:r>
              </m:sub>
            </m:sSub>
          </m:den>
        </m:f>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1-δ</m:t>
            </m:r>
          </m:e>
        </m:d>
        <m:r>
          <w:rPr>
            <w:rFonts w:ascii="Cambria Math" w:hAnsi="Cambria Math" w:cs="Times New Roman"/>
            <w:color w:val="000000" w:themeColor="text1"/>
            <w:sz w:val="24"/>
            <w:szCs w:val="24"/>
          </w:rPr>
          <m:t>-1=A∅s-δ</m:t>
        </m:r>
      </m:oMath>
      <w:r w:rsidR="00F93D0E">
        <w:rPr>
          <w:rFonts w:ascii="Times New Roman" w:eastAsiaTheme="minorEastAsia" w:hAnsi="Times New Roman" w:cs="Times New Roman"/>
          <w:color w:val="000000" w:themeColor="text1"/>
          <w:sz w:val="24"/>
          <w:szCs w:val="24"/>
        </w:rPr>
        <w:t xml:space="preserve">          (6)</w:t>
      </w:r>
    </w:p>
    <w:p w14:paraId="3A92D66C" w14:textId="77777777" w:rsidR="003A1034" w:rsidRDefault="00F93D0E">
      <w:pPr>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Ou </w:t>
      </w:r>
      <m:oMath>
        <m:r>
          <w:rPr>
            <w:rFonts w:ascii="Cambria Math" w:hAnsi="Cambria Math" w:cs="Times New Roman"/>
            <w:color w:val="000000" w:themeColor="text1"/>
            <w:sz w:val="24"/>
            <w:szCs w:val="24"/>
          </w:rPr>
          <m:t>s</m:t>
        </m:r>
        <m:r>
          <m:rPr>
            <m:sty m:val="p"/>
          </m:rP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S</m:t>
                </m:r>
              </m:e>
              <m:sub>
                <m:r>
                  <w:rPr>
                    <w:rFonts w:ascii="Cambria Math" w:hAnsi="Cambria Math" w:cs="Times New Roman"/>
                    <w:color w:val="000000" w:themeColor="text1"/>
                    <w:sz w:val="24"/>
                    <w:szCs w:val="24"/>
                  </w:rPr>
                  <m:t>t</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t</m:t>
                </m:r>
              </m:sub>
            </m:sSub>
          </m:den>
        </m:f>
      </m:oMath>
      <w:r>
        <w:rPr>
          <w:rFonts w:ascii="Times New Roman" w:eastAsiaTheme="minorEastAsia" w:hAnsi="Times New Roman" w:cs="Times New Roman"/>
          <w:color w:val="000000" w:themeColor="text1"/>
          <w:sz w:val="24"/>
          <w:szCs w:val="24"/>
        </w:rPr>
        <w:t xml:space="preserve"> (propension moyenne à l’épargner)</w:t>
      </w:r>
    </w:p>
    <w:p w14:paraId="2E38C31B" w14:textId="37F621B4" w:rsidR="003A1034" w:rsidRDefault="00F93D0E">
      <w:pPr>
        <w:spacing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L’équation « 6 » indique les trois canaux par lesquels le système financier peut affecter la croissance. D’abord en augmentant la proportion de l’épargne « </w:t>
      </w:r>
      <m:oMath>
        <m:r>
          <m:rPr>
            <m:sty m:val="bi"/>
          </m:rPr>
          <w:rPr>
            <w:rFonts w:ascii="Cambria Math" w:hAnsi="Cambria Math" w:cs="Times New Roman"/>
            <w:color w:val="222222"/>
            <w:sz w:val="24"/>
          </w:rPr>
          <m:t>∅</m:t>
        </m:r>
      </m:oMath>
      <w:r>
        <w:rPr>
          <w:rFonts w:ascii="Times New Roman" w:eastAsiaTheme="minorEastAsia" w:hAnsi="Times New Roman" w:cs="Times New Roman"/>
          <w:b/>
          <w:color w:val="222222"/>
          <w:sz w:val="24"/>
        </w:rPr>
        <w:t xml:space="preserve"> » </w:t>
      </w:r>
      <w:r>
        <w:rPr>
          <w:rFonts w:ascii="Times New Roman" w:eastAsiaTheme="minorEastAsia" w:hAnsi="Times New Roman" w:cs="Times New Roman"/>
          <w:color w:val="222222"/>
          <w:sz w:val="24"/>
        </w:rPr>
        <w:t>nationale allouée à des investissements productifs. Aussi, une augmentation de la production marginale « A</w:t>
      </w:r>
      <w:r>
        <w:rPr>
          <w:rFonts w:ascii="Times New Roman" w:eastAsiaTheme="minorEastAsia" w:hAnsi="Times New Roman" w:cs="Times New Roman"/>
          <w:b/>
          <w:color w:val="222222"/>
          <w:sz w:val="24"/>
        </w:rPr>
        <w:t> »</w:t>
      </w:r>
      <w:r>
        <w:rPr>
          <w:rFonts w:ascii="Times New Roman" w:eastAsiaTheme="minorEastAsia" w:hAnsi="Times New Roman" w:cs="Times New Roman"/>
          <w:color w:val="222222"/>
          <w:sz w:val="24"/>
        </w:rPr>
        <w:t>, grâce à la collecte d’information et à l’incitation des investisseurs à replacer leurs argents dans des projets plus risqués à cause d’un partage du risque plus significatif de la part des intermédiaires. Pour terminer</w:t>
      </w:r>
      <w:r w:rsidR="00524031">
        <w:rPr>
          <w:rFonts w:ascii="Times New Roman" w:eastAsiaTheme="minorEastAsia" w:hAnsi="Times New Roman" w:cs="Times New Roman"/>
          <w:color w:val="222222"/>
          <w:sz w:val="24"/>
        </w:rPr>
        <w:t>,</w:t>
      </w:r>
      <w:r>
        <w:rPr>
          <w:rFonts w:ascii="Times New Roman" w:eastAsiaTheme="minorEastAsia" w:hAnsi="Times New Roman" w:cs="Times New Roman"/>
          <w:color w:val="222222"/>
          <w:sz w:val="24"/>
        </w:rPr>
        <w:t xml:space="preserve"> le secteur financier influence la croissance économique par l’intermédiaire du taux d’épargne «</w:t>
      </w:r>
      <m:oMath>
        <m:r>
          <w:rPr>
            <w:rFonts w:ascii="Cambria Math" w:eastAsiaTheme="minorEastAsia" w:hAnsi="Cambria Math" w:cs="Times New Roman"/>
            <w:color w:val="222222"/>
            <w:sz w:val="24"/>
          </w:rPr>
          <m:t xml:space="preserve"> </m:t>
        </m:r>
        <m:r>
          <m:rPr>
            <m:sty m:val="p"/>
          </m:rPr>
          <w:rPr>
            <w:rFonts w:ascii="Cambria Math" w:hAnsi="Cambria Math" w:cs="Times New Roman"/>
            <w:color w:val="000000" w:themeColor="text1"/>
            <w:sz w:val="24"/>
            <w:szCs w:val="24"/>
          </w:rPr>
          <m:t>s</m:t>
        </m:r>
        <m:r>
          <m:rPr>
            <m:sty m:val="bi"/>
          </m:rPr>
          <w:rPr>
            <w:rFonts w:ascii="Cambria Math" w:hAnsi="Cambria Math" w:cs="Times New Roman"/>
            <w:color w:val="000000" w:themeColor="text1"/>
            <w:sz w:val="24"/>
            <w:szCs w:val="24"/>
          </w:rPr>
          <m:t xml:space="preserve"> </m:t>
        </m:r>
      </m:oMath>
      <w:r>
        <w:rPr>
          <w:rFonts w:ascii="Times New Roman" w:eastAsiaTheme="minorEastAsia" w:hAnsi="Times New Roman" w:cs="Times New Roman"/>
          <w:color w:val="000000" w:themeColor="text1"/>
          <w:sz w:val="20"/>
          <w:szCs w:val="24"/>
        </w:rPr>
        <w:t xml:space="preserve">» de </w:t>
      </w:r>
      <w:r>
        <w:rPr>
          <w:rFonts w:ascii="Times New Roman" w:eastAsiaTheme="minorEastAsia" w:hAnsi="Times New Roman" w:cs="Times New Roman"/>
          <w:color w:val="000000" w:themeColor="text1"/>
          <w:sz w:val="24"/>
          <w:szCs w:val="24"/>
        </w:rPr>
        <w:t>l’économie.</w:t>
      </w:r>
    </w:p>
    <w:p w14:paraId="52A19C6D" w14:textId="2FEF47CF" w:rsidR="003A1034" w:rsidRDefault="00F93D0E">
      <w:pPr>
        <w:spacing w:line="240" w:lineRule="auto"/>
        <w:jc w:val="both"/>
        <w:rPr>
          <w:rFonts w:ascii="Times New Roman" w:eastAsiaTheme="minorEastAsia"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La spécification du modèle théorique permet une vérification empirique de la relation entre la finance et la croissance. Étant une approximation linéaire ou affine, le développement limité permet d’intégrer des variables de contrôle dans les vérifications empiriques. Cela permet de capter l’effet « réel » de la finance sur la croissance économique. Dans notre modèle empirique</w:t>
      </w:r>
      <w:r w:rsidR="00524031">
        <w:rPr>
          <w:rFonts w:ascii="Times New Roman" w:eastAsiaTheme="minorEastAsia" w:hAnsi="Times New Roman" w:cs="Times New Roman"/>
          <w:color w:val="000000" w:themeColor="text1"/>
          <w:sz w:val="24"/>
          <w:szCs w:val="24"/>
        </w:rPr>
        <w:t>,</w:t>
      </w:r>
      <w:r>
        <w:rPr>
          <w:rFonts w:ascii="Times New Roman" w:eastAsiaTheme="minorEastAsia" w:hAnsi="Times New Roman" w:cs="Times New Roman"/>
          <w:color w:val="000000" w:themeColor="text1"/>
          <w:sz w:val="24"/>
          <w:szCs w:val="24"/>
        </w:rPr>
        <w:t xml:space="preserve"> le taux de croissance économique est représenté par le taux de croissance du PIB réel par tête. L’épargne qui représente l’indicateur du secteur financier dans le modèle théorique est représentée par le niveau du développement financier (M2/PIB ou Crédit privé/PIB). Pour prendre en compte le rôle des institutions, nous introduisons une variable, la qualité des institutions. L’objectif en introduisant cette dernière, est de déterminer son effet sur le lien entre la finance et la croissance </w:t>
      </w:r>
      <w:r>
        <w:rPr>
          <w:rFonts w:ascii="Times New Roman" w:hAnsi="Times New Roman" w:cs="Times New Roman"/>
          <w:color w:val="000000" w:themeColor="text1"/>
          <w:sz w:val="24"/>
        </w:rPr>
        <w:t>économique</w:t>
      </w:r>
      <w:r>
        <w:rPr>
          <w:rFonts w:ascii="Times New Roman" w:eastAsiaTheme="minorEastAsia" w:hAnsi="Times New Roman" w:cs="Times New Roman"/>
          <w:color w:val="000000" w:themeColor="text1"/>
          <w:sz w:val="24"/>
          <w:szCs w:val="24"/>
        </w:rPr>
        <w:t>. L’effet de seuil est appréhendé par la forme quadratique de la variable « développement financier ». Dans le but de capter l’effet réel, des variables de contrôle ont été introduites : le taux d’inflation, l’ouverture commerciale, le capital humain, les dépenses du gouvernement, les investissements directs étrangers et l’aide publique au développement.</w:t>
      </w:r>
    </w:p>
    <w:p w14:paraId="1CFAF597" w14:textId="4458ECB0" w:rsidR="003A1034" w:rsidRDefault="00F93D0E">
      <w:pPr>
        <w:jc w:val="both"/>
        <w:rPr>
          <w:rFonts w:ascii="Times New Roman" w:eastAsiaTheme="minorEastAsia" w:hAnsi="Times New Roman" w:cs="Times New Roman"/>
          <w:color w:val="000000" w:themeColor="text1"/>
          <w:sz w:val="24"/>
          <w:szCs w:val="24"/>
        </w:rPr>
      </w:pPr>
      <w:r>
        <w:rPr>
          <w:rFonts w:ascii="Times New Roman" w:hAnsi="Times New Roman" w:cs="Times New Roman"/>
          <w:sz w:val="24"/>
        </w:rPr>
        <w:t xml:space="preserve">Notre modèle s’inspire des travaux de Jeanneney et </w:t>
      </w:r>
      <w:proofErr w:type="spellStart"/>
      <w:r>
        <w:rPr>
          <w:rFonts w:ascii="Times New Roman" w:hAnsi="Times New Roman" w:cs="Times New Roman"/>
          <w:sz w:val="24"/>
        </w:rPr>
        <w:t>Kpodar</w:t>
      </w:r>
      <w:proofErr w:type="spellEnd"/>
      <w:r>
        <w:rPr>
          <w:rFonts w:ascii="Times New Roman" w:hAnsi="Times New Roman" w:cs="Times New Roman"/>
          <w:sz w:val="24"/>
        </w:rPr>
        <w:t xml:space="preserve"> (2006) et de </w:t>
      </w:r>
      <w:proofErr w:type="spellStart"/>
      <w:r>
        <w:rPr>
          <w:rFonts w:ascii="Times New Roman" w:hAnsi="Times New Roman" w:cs="Times New Roman"/>
          <w:sz w:val="24"/>
        </w:rPr>
        <w:t>Keho</w:t>
      </w:r>
      <w:proofErr w:type="spellEnd"/>
      <w:r>
        <w:rPr>
          <w:rFonts w:ascii="Times New Roman" w:hAnsi="Times New Roman" w:cs="Times New Roman"/>
          <w:sz w:val="24"/>
        </w:rPr>
        <w:t xml:space="preserve"> (2010) que nous adaptons à notre analyse.</w:t>
      </w:r>
    </w:p>
    <w:p w14:paraId="62AC5C39" w14:textId="77777777" w:rsidR="003A1034" w:rsidRDefault="001B4F1E">
      <w:pPr>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df</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df</m:t>
                </m:r>
              </m:e>
              <m:sub>
                <m:r>
                  <w:rPr>
                    <w:rFonts w:ascii="Cambria Math" w:hAnsi="Cambria Math" w:cs="Times New Roman"/>
                    <w:sz w:val="24"/>
                    <w:szCs w:val="24"/>
                  </w:rPr>
                  <m:t>it</m:t>
                </m:r>
              </m:sub>
            </m:sSub>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4</m:t>
            </m:r>
          </m:sub>
        </m:sSub>
        <m:sSub>
          <m:sSubPr>
            <m:ctrlPr>
              <w:rPr>
                <w:rFonts w:ascii="Cambria Math" w:hAnsi="Cambria Math" w:cs="Times New Roman"/>
                <w:i/>
                <w:sz w:val="24"/>
                <w:szCs w:val="24"/>
              </w:rPr>
            </m:ctrlPr>
          </m:sSubPr>
          <m:e>
            <m:r>
              <w:rPr>
                <w:rFonts w:ascii="Cambria Math" w:hAnsi="Cambria Math" w:cs="Times New Roman"/>
                <w:sz w:val="24"/>
                <w:szCs w:val="24"/>
              </w:rPr>
              <m:t>ins</m:t>
            </m:r>
          </m:e>
          <m:sub>
            <m:r>
              <w:rPr>
                <w:rFonts w:ascii="Cambria Math" w:hAnsi="Cambria Math" w:cs="Times New Roman"/>
                <w:sz w:val="24"/>
                <w:szCs w:val="24"/>
              </w:rPr>
              <m:t>it</m:t>
            </m:r>
          </m:sub>
        </m:sSub>
        <m:r>
          <w:rPr>
            <w:rFonts w:ascii="Cambria Math" w:hAnsi="Cambria Math" w:cs="Times New Roman"/>
            <w:sz w:val="24"/>
            <w:szCs w:val="24"/>
          </w:rPr>
          <m:t>+A</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e>
          <m:sup>
            <m:r>
              <w:rPr>
                <w:rFonts w:ascii="Cambria Math" w:hAnsi="Cambria Math" w:cs="Times New Roman"/>
                <w:sz w:val="24"/>
                <w:szCs w:val="24"/>
              </w:rPr>
              <m:t>'</m:t>
            </m:r>
          </m:sup>
        </m:sSup>
        <m:r>
          <w:rPr>
            <w:rFonts w:ascii="Cambria Math" w:hAnsi="Cambria Math" w:cs="Times New Roman"/>
            <w:sz w:val="24"/>
            <w:szCs w:val="24"/>
          </w:rPr>
          <m:t>+</m:t>
        </m:r>
        <w:bookmarkStart w:id="2" w:name="_Hlk187071039"/>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it</m:t>
            </m:r>
          </m:sub>
        </m:sSub>
        <w:bookmarkEnd w:id="2"/>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t>
            </m:r>
          </m:e>
          <m:sub>
            <m:r>
              <w:rPr>
                <w:rFonts w:ascii="Cambria Math" w:hAnsi="Cambria Math" w:cs="Times New Roman"/>
                <w:sz w:val="24"/>
                <w:szCs w:val="24"/>
              </w:rPr>
              <m:t>it</m:t>
            </m:r>
          </m:sub>
        </m:sSub>
      </m:oMath>
      <w:r w:rsidR="00F93D0E">
        <w:rPr>
          <w:rFonts w:ascii="Times New Roman" w:eastAsiaTheme="minorEastAsia" w:hAnsi="Times New Roman" w:cs="Times New Roman"/>
          <w:sz w:val="24"/>
          <w:szCs w:val="24"/>
        </w:rPr>
        <w:t xml:space="preserve">       (7)</w:t>
      </w:r>
    </w:p>
    <w:p w14:paraId="095AE3A8" w14:textId="77777777" w:rsidR="003A1034" w:rsidRDefault="00F93D0E">
      <w:pPr>
        <w:tabs>
          <w:tab w:val="left" w:pos="7377"/>
        </w:tabs>
        <w:jc w:val="both"/>
        <w:rPr>
          <w:rFonts w:ascii="Times New Roman" w:hAnsi="Times New Roman" w:cs="Times New Roman"/>
          <w:sz w:val="24"/>
          <w:szCs w:val="24"/>
        </w:rPr>
      </w:pPr>
      <w:r>
        <w:rPr>
          <w:rFonts w:ascii="Times New Roman" w:hAnsi="Times New Roman" w:cs="Times New Roman"/>
          <w:sz w:val="24"/>
          <w:szCs w:val="24"/>
        </w:rPr>
        <w:t xml:space="preserve">Où </w:t>
      </w: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it</m:t>
            </m:r>
          </m:sub>
        </m:sSub>
      </m:oMath>
      <w:r>
        <w:rPr>
          <w:rFonts w:ascii="Times New Roman" w:eastAsiaTheme="minorEastAsia" w:hAnsi="Times New Roman" w:cs="Times New Roman"/>
          <w:sz w:val="24"/>
          <w:szCs w:val="24"/>
        </w:rPr>
        <w:t xml:space="preserve"> est le taux de croissance du PIB réel par tête</w:t>
      </w:r>
    </w:p>
    <w:p w14:paraId="7EDC5B8D" w14:textId="77777777" w:rsidR="003A1034" w:rsidRDefault="00F93D0E">
      <w:pPr>
        <w:tabs>
          <w:tab w:val="left" w:pos="7377"/>
        </w:tabs>
        <w:jc w:val="both"/>
        <w:rPr>
          <w:rFonts w:ascii="Times New Roman" w:hAnsi="Times New Roman" w:cs="Times New Roman"/>
          <w:sz w:val="24"/>
          <w:szCs w:val="24"/>
        </w:rPr>
      </w:pPr>
      <m:oMath>
        <m:r>
          <w:rPr>
            <w:rFonts w:ascii="Cambria Math" w:hAnsi="Cambria Math" w:cs="Times New Roman"/>
            <w:sz w:val="24"/>
            <w:szCs w:val="24"/>
          </w:rPr>
          <m:t xml:space="preserve"> df</m:t>
        </m:r>
      </m:oMath>
      <w:r>
        <w:rPr>
          <w:rFonts w:ascii="Times New Roman" w:hAnsi="Times New Roman" w:cs="Times New Roman"/>
          <w:sz w:val="24"/>
          <w:szCs w:val="24"/>
        </w:rPr>
        <w:t xml:space="preserve"> , le niveau de développement financier, </w:t>
      </w:r>
    </w:p>
    <w:p w14:paraId="66B120EA" w14:textId="77777777" w:rsidR="003A1034" w:rsidRDefault="001B4F1E">
      <w:pPr>
        <w:tabs>
          <w:tab w:val="left" w:pos="7377"/>
        </w:tabs>
        <w:jc w:val="both"/>
        <w:rPr>
          <w:rFonts w:ascii="Times New Roman"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e>
          <m:sup>
            <m:r>
              <w:rPr>
                <w:rFonts w:ascii="Cambria Math" w:hAnsi="Cambria Math" w:cs="Times New Roman"/>
                <w:sz w:val="24"/>
                <w:szCs w:val="24"/>
              </w:rPr>
              <m:t>'</m:t>
            </m:r>
          </m:sup>
        </m:sSup>
      </m:oMath>
      <w:r w:rsidR="00F93D0E">
        <w:rPr>
          <w:rFonts w:ascii="Times New Roman" w:eastAsiaTheme="minorEastAsia" w:hAnsi="Times New Roman" w:cs="Times New Roman"/>
          <w:sz w:val="24"/>
          <w:szCs w:val="24"/>
        </w:rPr>
        <w:t xml:space="preserve">, </w:t>
      </w:r>
      <w:r w:rsidR="00F93D0E">
        <w:rPr>
          <w:rFonts w:ascii="Times New Roman" w:hAnsi="Times New Roman" w:cs="Times New Roman"/>
          <w:sz w:val="24"/>
          <w:szCs w:val="24"/>
        </w:rPr>
        <w:t>un vecteur de variables de contrôle, à savoir : le capital humain, les dépenses du gouvernement.</w:t>
      </w:r>
    </w:p>
    <w:p w14:paraId="3448920A" w14:textId="7FE26E08" w:rsidR="003A1034" w:rsidRDefault="001B4F1E">
      <w:pPr>
        <w:tabs>
          <w:tab w:val="left" w:pos="7377"/>
        </w:tabs>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it</m:t>
            </m:r>
          </m:sub>
        </m:sSub>
      </m:oMath>
      <w:r w:rsidR="00F93D0E">
        <w:rPr>
          <w:rFonts w:ascii="Times New Roman" w:hAnsi="Times New Roman" w:cs="Times New Roman"/>
          <w:sz w:val="24"/>
          <w:szCs w:val="24"/>
        </w:rPr>
        <w:t xml:space="preserve">, l’effet spécifique à chaque pays inobservé, </w:t>
      </w:r>
      <w:r w:rsidR="00F93D0E">
        <w:rPr>
          <w:rFonts w:ascii="Cambria Math" w:hAnsi="Cambria Math" w:cs="Cambria Math"/>
          <w:sz w:val="24"/>
          <w:szCs w:val="24"/>
        </w:rPr>
        <w:t>𝜀</w:t>
      </w:r>
      <w:r w:rsidR="00F93D0E">
        <w:rPr>
          <w:rFonts w:ascii="Times New Roman" w:hAnsi="Times New Roman" w:cs="Times New Roman"/>
          <w:sz w:val="24"/>
          <w:szCs w:val="24"/>
        </w:rPr>
        <w:t xml:space="preserve"> le terme d'erreur, </w:t>
      </w:r>
      <w:r w:rsidR="00F93D0E">
        <w:rPr>
          <w:rFonts w:ascii="Cambria Math" w:hAnsi="Cambria Math" w:cs="Cambria Math"/>
          <w:sz w:val="24"/>
          <w:szCs w:val="24"/>
        </w:rPr>
        <w:t>𝑖</w:t>
      </w:r>
      <w:r w:rsidR="00F93D0E">
        <w:rPr>
          <w:rFonts w:ascii="Times New Roman" w:hAnsi="Times New Roman" w:cs="Times New Roman"/>
          <w:sz w:val="24"/>
          <w:szCs w:val="24"/>
        </w:rPr>
        <w:t xml:space="preserve"> la dimension individuelle du panel (le pays), </w:t>
      </w:r>
      <w:r w:rsidR="00F93D0E">
        <w:rPr>
          <w:rFonts w:ascii="Cambria Math" w:hAnsi="Cambria Math" w:cs="Cambria Math"/>
          <w:sz w:val="24"/>
          <w:szCs w:val="24"/>
        </w:rPr>
        <w:t>𝑡</w:t>
      </w:r>
      <w:r w:rsidR="00F93D0E">
        <w:rPr>
          <w:rFonts w:ascii="Times New Roman" w:hAnsi="Times New Roman" w:cs="Times New Roman"/>
          <w:sz w:val="24"/>
          <w:szCs w:val="24"/>
        </w:rPr>
        <w:t xml:space="preserve"> la dimension temporelle.</w:t>
      </w:r>
    </w:p>
    <w:p w14:paraId="5F176C16" w14:textId="6A83D974" w:rsidR="003A1034" w:rsidRDefault="001B4F1E">
      <w:pPr>
        <w:tabs>
          <w:tab w:val="left" w:pos="3464"/>
        </w:tabs>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ins</m:t>
            </m:r>
          </m:e>
          <m:sub>
            <m:r>
              <w:rPr>
                <w:rFonts w:ascii="Cambria Math" w:hAnsi="Cambria Math" w:cs="Times New Roman"/>
                <w:sz w:val="24"/>
                <w:szCs w:val="24"/>
              </w:rPr>
              <m:t>it</m:t>
            </m:r>
          </m:sub>
        </m:sSub>
        <m:r>
          <w:rPr>
            <w:rFonts w:ascii="Cambria Math" w:hAnsi="Cambria Math" w:cs="Times New Roman"/>
            <w:sz w:val="24"/>
            <w:szCs w:val="24"/>
          </w:rPr>
          <m:t xml:space="preserve"> </m:t>
        </m:r>
      </m:oMath>
      <w:r w:rsidR="00F93D0E">
        <w:rPr>
          <w:rFonts w:ascii="Times New Roman" w:eastAsiaTheme="minorEastAsia" w:hAnsi="Times New Roman" w:cs="Times New Roman"/>
          <w:sz w:val="24"/>
          <w:szCs w:val="24"/>
        </w:rPr>
        <w:t>, la qualité des institutions</w:t>
      </w:r>
    </w:p>
    <w:p w14:paraId="209A7BC2" w14:textId="77777777" w:rsidR="003A1034" w:rsidRDefault="00F93D0E">
      <w:pPr>
        <w:pStyle w:val="NormalWeb"/>
        <w:numPr>
          <w:ilvl w:val="1"/>
          <w:numId w:val="2"/>
        </w:numPr>
        <w:spacing w:line="276" w:lineRule="auto"/>
        <w:jc w:val="both"/>
        <w:rPr>
          <w:b/>
          <w:color w:val="000000" w:themeColor="text1"/>
        </w:rPr>
      </w:pPr>
      <w:r>
        <w:rPr>
          <w:b/>
          <w:color w:val="000000" w:themeColor="text1"/>
        </w:rPr>
        <w:t xml:space="preserve">Présentation des variables </w:t>
      </w:r>
    </w:p>
    <w:p w14:paraId="618A8D4D" w14:textId="77777777" w:rsidR="003A1034" w:rsidRDefault="00F93D0E">
      <w:pPr>
        <w:tabs>
          <w:tab w:val="left" w:pos="7377"/>
        </w:tabs>
        <w:spacing w:line="240" w:lineRule="auto"/>
        <w:jc w:val="both"/>
        <w:rPr>
          <w:rFonts w:ascii="Times New Roman" w:hAnsi="Times New Roman" w:cs="Times New Roman"/>
          <w:sz w:val="24"/>
        </w:rPr>
      </w:pPr>
      <w:r>
        <w:rPr>
          <w:rFonts w:ascii="Times New Roman" w:hAnsi="Times New Roman" w:cs="Times New Roman"/>
          <w:sz w:val="24"/>
        </w:rPr>
        <w:t>Il s’agit d’abord des variables d’intérêt et ensuite des variables de contrôle.</w:t>
      </w:r>
    </w:p>
    <w:p w14:paraId="1B5BBC49" w14:textId="77777777" w:rsidR="003A1034" w:rsidRDefault="00F93D0E">
      <w:pPr>
        <w:tabs>
          <w:tab w:val="left" w:pos="7377"/>
        </w:tabs>
        <w:spacing w:line="240" w:lineRule="auto"/>
        <w:jc w:val="both"/>
        <w:rPr>
          <w:rFonts w:ascii="Times New Roman" w:hAnsi="Times New Roman" w:cs="Times New Roman"/>
          <w:b/>
          <w:sz w:val="24"/>
        </w:rPr>
      </w:pPr>
      <w:r>
        <w:rPr>
          <w:rFonts w:ascii="Times New Roman" w:hAnsi="Times New Roman" w:cs="Times New Roman"/>
          <w:b/>
          <w:sz w:val="24"/>
        </w:rPr>
        <w:t>2.2.1 Variables d’intérêt</w:t>
      </w:r>
    </w:p>
    <w:p w14:paraId="2952F2EB" w14:textId="77777777" w:rsidR="003A1034" w:rsidRDefault="00F93D0E">
      <w:pPr>
        <w:tabs>
          <w:tab w:val="left" w:pos="7377"/>
        </w:tabs>
        <w:spacing w:line="240" w:lineRule="auto"/>
        <w:jc w:val="both"/>
        <w:rPr>
          <w:rFonts w:ascii="Times New Roman" w:hAnsi="Times New Roman" w:cs="Times New Roman"/>
          <w:sz w:val="24"/>
        </w:rPr>
      </w:pPr>
      <w:r>
        <w:rPr>
          <w:rFonts w:ascii="Times New Roman" w:hAnsi="Times New Roman" w:cs="Times New Roman"/>
          <w:sz w:val="24"/>
        </w:rPr>
        <w:t xml:space="preserve">Il s’agit du développement financier et du taux de croissance du PIB réel par tête. </w:t>
      </w:r>
    </w:p>
    <w:p w14:paraId="6E3DF643" w14:textId="77777777" w:rsidR="003A1034" w:rsidRDefault="00F93D0E">
      <w:pPr>
        <w:pStyle w:val="Paragraphedeliste"/>
        <w:numPr>
          <w:ilvl w:val="0"/>
          <w:numId w:val="3"/>
        </w:numPr>
        <w:tabs>
          <w:tab w:val="left" w:pos="7377"/>
        </w:tabs>
        <w:jc w:val="both"/>
        <w:rPr>
          <w:b/>
        </w:rPr>
      </w:pPr>
      <w:r>
        <w:rPr>
          <w:b/>
        </w:rPr>
        <w:t>Développement financier (</w:t>
      </w:r>
      <w:proofErr w:type="spellStart"/>
      <w:r>
        <w:rPr>
          <w:b/>
        </w:rPr>
        <w:t>df</w:t>
      </w:r>
      <w:proofErr w:type="spellEnd"/>
      <w:r>
        <w:rPr>
          <w:b/>
        </w:rPr>
        <w:t>)</w:t>
      </w:r>
    </w:p>
    <w:p w14:paraId="5A1D60D3" w14:textId="1714CD8A" w:rsidR="003A1034" w:rsidRDefault="00546EDA">
      <w:pPr>
        <w:tabs>
          <w:tab w:val="left" w:pos="7377"/>
        </w:tabs>
        <w:spacing w:line="240" w:lineRule="auto"/>
        <w:jc w:val="both"/>
        <w:rPr>
          <w:rFonts w:ascii="Times New Roman" w:hAnsi="Times New Roman" w:cs="Times New Roman"/>
          <w:sz w:val="24"/>
        </w:rPr>
      </w:pPr>
      <w:r>
        <w:rPr>
          <w:rFonts w:ascii="Times New Roman" w:hAnsi="Times New Roman" w:cs="Times New Roman"/>
          <w:sz w:val="24"/>
        </w:rPr>
        <w:t xml:space="preserve">La </w:t>
      </w:r>
      <w:r w:rsidR="00F93D0E">
        <w:rPr>
          <w:rFonts w:ascii="Times New Roman" w:hAnsi="Times New Roman" w:cs="Times New Roman"/>
          <w:sz w:val="24"/>
        </w:rPr>
        <w:t xml:space="preserve">littérature distingue trois (3) indicateurs du développement financier à savoir : le rapport de la masse monétaire sur le PIB (M3/PIB), le rapport du crédit au secteur privé sur le PIB (Crédit/PIB) et enfin le taux de bancarisation. Le ratio « crédit/PIB » traduit le degré d’accès du secteur privé aux facilités de crédit du système bancaire. Quant au taux de bancarisation, il saisit le niveau d’accès aux services financiers en général, et particulièrement aux services de dépôts. Les ratios « M3/PIB ou M2/PIB » et « Crédit/PIB » traduisent le degré de liquidité du système financier, ils sont couramment utilisés dans les études appliquées pour capter l’effet du développement financier (King et Levine, 1993 ; </w:t>
      </w:r>
      <w:proofErr w:type="spellStart"/>
      <w:r w:rsidR="00F93D0E">
        <w:rPr>
          <w:rFonts w:ascii="Times New Roman" w:hAnsi="Times New Roman" w:cs="Times New Roman"/>
          <w:sz w:val="24"/>
        </w:rPr>
        <w:t>Kpodar</w:t>
      </w:r>
      <w:proofErr w:type="spellEnd"/>
      <w:r w:rsidR="00F93D0E">
        <w:rPr>
          <w:rFonts w:ascii="Times New Roman" w:hAnsi="Times New Roman" w:cs="Times New Roman"/>
          <w:sz w:val="24"/>
        </w:rPr>
        <w:t xml:space="preserve">, 2004 ; </w:t>
      </w:r>
      <w:proofErr w:type="spellStart"/>
      <w:r w:rsidR="00F93D0E">
        <w:rPr>
          <w:rFonts w:ascii="Times New Roman" w:hAnsi="Times New Roman" w:cs="Times New Roman"/>
          <w:sz w:val="24"/>
        </w:rPr>
        <w:t>Keho</w:t>
      </w:r>
      <w:proofErr w:type="spellEnd"/>
      <w:r w:rsidR="00F93D0E">
        <w:rPr>
          <w:rFonts w:ascii="Times New Roman" w:hAnsi="Times New Roman" w:cs="Times New Roman"/>
          <w:sz w:val="24"/>
        </w:rPr>
        <w:t xml:space="preserve">, 2010 ; </w:t>
      </w:r>
      <w:proofErr w:type="spellStart"/>
      <w:r w:rsidR="00F93D0E">
        <w:rPr>
          <w:rFonts w:ascii="Times New Roman" w:hAnsi="Times New Roman" w:cs="Times New Roman"/>
          <w:sz w:val="24"/>
        </w:rPr>
        <w:t>Kiendrébeogo</w:t>
      </w:r>
      <w:proofErr w:type="spellEnd"/>
      <w:r w:rsidR="00F93D0E">
        <w:rPr>
          <w:rFonts w:ascii="Times New Roman" w:hAnsi="Times New Roman" w:cs="Times New Roman"/>
          <w:sz w:val="24"/>
        </w:rPr>
        <w:t xml:space="preserve">, 2010). Dans le cadre de cet article, les ratios « M2/PIB » et « crédit/PIB » sont utilisés pour les vérifications empiriques. </w:t>
      </w:r>
    </w:p>
    <w:p w14:paraId="34185B7D" w14:textId="77777777" w:rsidR="003A1034" w:rsidRDefault="00F93D0E">
      <w:pPr>
        <w:pStyle w:val="Paragraphedeliste"/>
        <w:numPr>
          <w:ilvl w:val="0"/>
          <w:numId w:val="4"/>
        </w:numPr>
        <w:tabs>
          <w:tab w:val="left" w:pos="7377"/>
        </w:tabs>
        <w:jc w:val="both"/>
        <w:rPr>
          <w:b/>
        </w:rPr>
      </w:pPr>
      <w:r>
        <w:rPr>
          <w:b/>
        </w:rPr>
        <w:t>Le taux de croissance économique</w:t>
      </w:r>
    </w:p>
    <w:p w14:paraId="257AA646" w14:textId="77777777" w:rsidR="003A1034" w:rsidRDefault="00F93D0E">
      <w:pPr>
        <w:tabs>
          <w:tab w:val="left" w:pos="7377"/>
        </w:tabs>
        <w:spacing w:line="240" w:lineRule="auto"/>
        <w:jc w:val="both"/>
        <w:rPr>
          <w:rFonts w:ascii="Times New Roman" w:hAnsi="Times New Roman" w:cs="Times New Roman"/>
          <w:sz w:val="24"/>
        </w:rPr>
      </w:pPr>
      <w:r>
        <w:rPr>
          <w:rFonts w:ascii="Times New Roman" w:hAnsi="Times New Roman" w:cs="Times New Roman"/>
          <w:sz w:val="24"/>
        </w:rPr>
        <w:t>Le taux de croissance du PIB réel par habitant est un indicateur qui permet de mesurer le niveau de l’activité économique. Le taux de croissance économique est donné par la formule suivante :</w:t>
      </w:r>
    </w:p>
    <w:p w14:paraId="6D49996D" w14:textId="77777777" w:rsidR="003A1034" w:rsidRDefault="00F93D0E">
      <w:pPr>
        <w:tabs>
          <w:tab w:val="left" w:pos="7377"/>
        </w:tabs>
        <w:spacing w:line="240" w:lineRule="auto"/>
        <w:jc w:val="both"/>
        <w:rPr>
          <w:rFonts w:ascii="Times New Roman" w:hAnsi="Times New Roman" w:cs="Times New Roman"/>
          <w:sz w:val="24"/>
        </w:rPr>
      </w:pPr>
      <m:oMathPara>
        <m:oMath>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bi"/>
                    </m:rPr>
                    <w:rPr>
                      <w:rFonts w:ascii="Cambria Math" w:hAnsi="Cambria Math" w:cs="Times New Roman"/>
                      <w:sz w:val="24"/>
                    </w:rPr>
                    <m:t>PIB</m:t>
                  </m:r>
                </m:e>
                <m:sub>
                  <m:r>
                    <m:rPr>
                      <m:sty m:val="bi"/>
                    </m:rPr>
                    <w:rPr>
                      <w:rFonts w:ascii="Cambria Math" w:hAnsi="Cambria Math" w:cs="Times New Roman"/>
                      <w:sz w:val="24"/>
                    </w:rPr>
                    <m:t>rn</m:t>
                  </m:r>
                </m:sub>
              </m:sSub>
              <m:r>
                <m:rPr>
                  <m:sty m:val="p"/>
                </m:rPr>
                <w:rPr>
                  <w:rFonts w:ascii="Cambria Math" w:hAnsi="Cambria Math" w:cs="Times New Roman"/>
                  <w:sz w:val="24"/>
                </w:rPr>
                <m:t>-</m:t>
              </m:r>
              <m:sSub>
                <m:sSubPr>
                  <m:ctrlPr>
                    <w:rPr>
                      <w:rFonts w:ascii="Cambria Math" w:hAnsi="Cambria Math" w:cs="Times New Roman"/>
                      <w:sz w:val="24"/>
                    </w:rPr>
                  </m:ctrlPr>
                </m:sSubPr>
                <m:e>
                  <m:r>
                    <m:rPr>
                      <m:sty m:val="bi"/>
                    </m:rPr>
                    <w:rPr>
                      <w:rFonts w:ascii="Cambria Math" w:hAnsi="Cambria Math" w:cs="Times New Roman"/>
                      <w:sz w:val="24"/>
                    </w:rPr>
                    <m:t>PIB</m:t>
                  </m:r>
                </m:e>
                <m:sub>
                  <m:r>
                    <m:rPr>
                      <m:sty m:val="bi"/>
                    </m:rPr>
                    <w:rPr>
                      <w:rFonts w:ascii="Cambria Math" w:hAnsi="Cambria Math" w:cs="Times New Roman"/>
                      <w:sz w:val="24"/>
                    </w:rPr>
                    <m:t>r</m:t>
                  </m:r>
                  <m:r>
                    <m:rPr>
                      <m:sty m:val="p"/>
                    </m:rPr>
                    <w:rPr>
                      <w:rFonts w:ascii="Cambria Math" w:hAnsi="Cambria Math" w:cs="Times New Roman"/>
                      <w:sz w:val="24"/>
                    </w:rPr>
                    <m:t>(</m:t>
                  </m:r>
                  <m:r>
                    <m:rPr>
                      <m:sty m:val="bi"/>
                    </m:rPr>
                    <w:rPr>
                      <w:rFonts w:ascii="Cambria Math" w:hAnsi="Cambria Math" w:cs="Times New Roman"/>
                      <w:sz w:val="24"/>
                    </w:rPr>
                    <m:t>n</m:t>
                  </m:r>
                  <m:r>
                    <m:rPr>
                      <m:sty m:val="p"/>
                    </m:rPr>
                    <w:rPr>
                      <w:rFonts w:ascii="Cambria Math" w:hAnsi="Cambria Math" w:cs="Times New Roman"/>
                      <w:sz w:val="24"/>
                    </w:rPr>
                    <m:t>-</m:t>
                  </m:r>
                  <m:r>
                    <m:rPr>
                      <m:sty m:val="b"/>
                    </m:rPr>
                    <w:rPr>
                      <w:rFonts w:ascii="Cambria Math" w:hAnsi="Cambria Math" w:cs="Times New Roman"/>
                      <w:sz w:val="24"/>
                    </w:rPr>
                    <m:t>1</m:t>
                  </m:r>
                  <m:r>
                    <m:rPr>
                      <m:sty m:val="p"/>
                    </m:rPr>
                    <w:rPr>
                      <w:rFonts w:ascii="Cambria Math" w:hAnsi="Cambria Math" w:cs="Times New Roman"/>
                      <w:sz w:val="24"/>
                    </w:rPr>
                    <m:t>)</m:t>
                  </m:r>
                </m:sub>
              </m:sSub>
            </m:num>
            <m:den>
              <m:sSub>
                <m:sSubPr>
                  <m:ctrlPr>
                    <w:rPr>
                      <w:rFonts w:ascii="Cambria Math" w:hAnsi="Cambria Math" w:cs="Times New Roman"/>
                      <w:sz w:val="24"/>
                    </w:rPr>
                  </m:ctrlPr>
                </m:sSubPr>
                <m:e>
                  <m:r>
                    <m:rPr>
                      <m:sty m:val="bi"/>
                    </m:rPr>
                    <w:rPr>
                      <w:rFonts w:ascii="Cambria Math" w:hAnsi="Cambria Math" w:cs="Times New Roman"/>
                      <w:sz w:val="24"/>
                    </w:rPr>
                    <m:t>PIB</m:t>
                  </m:r>
                </m:e>
                <m:sub>
                  <m:r>
                    <m:rPr>
                      <m:sty m:val="bi"/>
                    </m:rPr>
                    <w:rPr>
                      <w:rFonts w:ascii="Cambria Math" w:hAnsi="Cambria Math" w:cs="Times New Roman"/>
                      <w:sz w:val="24"/>
                    </w:rPr>
                    <m:t>r</m:t>
                  </m:r>
                  <m:r>
                    <m:rPr>
                      <m:sty m:val="p"/>
                    </m:rPr>
                    <w:rPr>
                      <w:rFonts w:ascii="Cambria Math" w:hAnsi="Cambria Math" w:cs="Times New Roman"/>
                      <w:sz w:val="24"/>
                    </w:rPr>
                    <m:t>(</m:t>
                  </m:r>
                  <m:r>
                    <m:rPr>
                      <m:sty m:val="bi"/>
                    </m:rPr>
                    <w:rPr>
                      <w:rFonts w:ascii="Cambria Math" w:hAnsi="Cambria Math" w:cs="Times New Roman"/>
                      <w:sz w:val="24"/>
                    </w:rPr>
                    <m:t>n</m:t>
                  </m:r>
                  <m:r>
                    <m:rPr>
                      <m:sty m:val="p"/>
                    </m:rPr>
                    <w:rPr>
                      <w:rFonts w:ascii="Cambria Math" w:hAnsi="Cambria Math" w:cs="Times New Roman"/>
                      <w:sz w:val="24"/>
                    </w:rPr>
                    <m:t>-</m:t>
                  </m:r>
                  <m:r>
                    <m:rPr>
                      <m:sty m:val="b"/>
                    </m:rPr>
                    <w:rPr>
                      <w:rFonts w:ascii="Cambria Math" w:hAnsi="Cambria Math" w:cs="Times New Roman"/>
                      <w:sz w:val="24"/>
                    </w:rPr>
                    <m:t>1</m:t>
                  </m:r>
                  <m:r>
                    <m:rPr>
                      <m:sty m:val="p"/>
                    </m:rPr>
                    <w:rPr>
                      <w:rFonts w:ascii="Cambria Math" w:hAnsi="Cambria Math" w:cs="Times New Roman"/>
                      <w:sz w:val="24"/>
                    </w:rPr>
                    <m:t>)</m:t>
                  </m:r>
                </m:sub>
              </m:sSub>
            </m:den>
          </m:f>
          <m:r>
            <m:rPr>
              <m:sty m:val="p"/>
            </m:rPr>
            <w:rPr>
              <w:rFonts w:ascii="Cambria Math" w:hAnsi="Cambria Math" w:cs="Times New Roman"/>
              <w:sz w:val="24"/>
            </w:rPr>
            <m:t>)*</m:t>
          </m:r>
          <m:r>
            <m:rPr>
              <m:sty m:val="b"/>
            </m:rPr>
            <w:rPr>
              <w:rFonts w:ascii="Cambria Math" w:hAnsi="Cambria Math" w:cs="Times New Roman"/>
              <w:sz w:val="24"/>
            </w:rPr>
            <m:t>100</m:t>
          </m:r>
        </m:oMath>
      </m:oMathPara>
    </w:p>
    <w:p w14:paraId="3B8FEE2C" w14:textId="77777777" w:rsidR="003A1034" w:rsidRDefault="00F93D0E">
      <w:pPr>
        <w:tabs>
          <w:tab w:val="left" w:pos="7377"/>
        </w:tabs>
        <w:spacing w:line="240" w:lineRule="auto"/>
        <w:jc w:val="both"/>
        <w:rPr>
          <w:rFonts w:ascii="Times New Roman" w:hAnsi="Times New Roman" w:cs="Times New Roman"/>
          <w:b/>
          <w:sz w:val="24"/>
        </w:rPr>
      </w:pPr>
      <w:r>
        <w:rPr>
          <w:rFonts w:ascii="Times New Roman" w:hAnsi="Times New Roman" w:cs="Times New Roman"/>
          <w:b/>
          <w:sz w:val="24"/>
        </w:rPr>
        <w:t>2.2.2. Variables de contrôle</w:t>
      </w:r>
    </w:p>
    <w:p w14:paraId="1BB0E654" w14:textId="77777777" w:rsidR="003A1034" w:rsidRDefault="00F93D0E">
      <w:pPr>
        <w:tabs>
          <w:tab w:val="left" w:pos="7377"/>
        </w:tabs>
        <w:spacing w:line="240" w:lineRule="auto"/>
        <w:jc w:val="both"/>
        <w:rPr>
          <w:rFonts w:ascii="Times New Roman" w:hAnsi="Times New Roman" w:cs="Times New Roman"/>
          <w:sz w:val="24"/>
        </w:rPr>
      </w:pPr>
      <w:r>
        <w:rPr>
          <w:rFonts w:ascii="Times New Roman" w:hAnsi="Times New Roman" w:cs="Times New Roman"/>
          <w:sz w:val="24"/>
        </w:rPr>
        <w:t xml:space="preserve">Les variables de contrôle introduites dans le modèle sont : le capital humain, le taux d’inflation et les dépenses du gouvernement, la qualité des institutions et l’aide publique au développement. </w:t>
      </w:r>
    </w:p>
    <w:p w14:paraId="6C80DDE9" w14:textId="77777777" w:rsidR="003A1034" w:rsidRDefault="00F93D0E">
      <w:pPr>
        <w:pStyle w:val="Paragraphedeliste"/>
        <w:numPr>
          <w:ilvl w:val="0"/>
          <w:numId w:val="4"/>
        </w:numPr>
        <w:tabs>
          <w:tab w:val="left" w:pos="7377"/>
        </w:tabs>
        <w:jc w:val="both"/>
        <w:rPr>
          <w:b/>
        </w:rPr>
      </w:pPr>
      <w:r>
        <w:rPr>
          <w:b/>
        </w:rPr>
        <w:t>La qualité des institutions (ins)</w:t>
      </w:r>
    </w:p>
    <w:p w14:paraId="26CE12BB" w14:textId="77777777" w:rsidR="003A1034" w:rsidRDefault="00F93D0E">
      <w:pPr>
        <w:tabs>
          <w:tab w:val="left" w:pos="7377"/>
        </w:tabs>
        <w:spacing w:line="240" w:lineRule="auto"/>
        <w:jc w:val="both"/>
        <w:rPr>
          <w:rFonts w:ascii="Times New Roman" w:hAnsi="Times New Roman" w:cs="Times New Roman"/>
          <w:sz w:val="24"/>
        </w:rPr>
      </w:pPr>
      <w:r>
        <w:rPr>
          <w:rFonts w:ascii="Times New Roman" w:hAnsi="Times New Roman" w:cs="Times New Roman"/>
          <w:sz w:val="24"/>
        </w:rPr>
        <w:t xml:space="preserve">Nous avons retenu trois indicateurs institutionnels : la qualité de la bureaucratie, l’ordre et la loi et enfin la corruption. Ils sont issus de la base de données du Guide International du Risque Pays produite par « </w:t>
      </w:r>
      <w:proofErr w:type="spellStart"/>
      <w:r>
        <w:rPr>
          <w:rFonts w:ascii="Times New Roman" w:hAnsi="Times New Roman" w:cs="Times New Roman"/>
          <w:sz w:val="24"/>
        </w:rPr>
        <w:t>Political</w:t>
      </w:r>
      <w:proofErr w:type="spellEnd"/>
      <w:r>
        <w:rPr>
          <w:rFonts w:ascii="Times New Roman" w:hAnsi="Times New Roman" w:cs="Times New Roman"/>
          <w:sz w:val="24"/>
        </w:rPr>
        <w:t xml:space="preserve"> Risk Service Group » (PRS Group). </w:t>
      </w:r>
    </w:p>
    <w:p w14:paraId="4AB156BE" w14:textId="77777777" w:rsidR="003A1034" w:rsidRDefault="00F93D0E">
      <w:pPr>
        <w:tabs>
          <w:tab w:val="left" w:pos="7377"/>
        </w:tabs>
        <w:spacing w:line="240" w:lineRule="auto"/>
        <w:jc w:val="both"/>
        <w:rPr>
          <w:rFonts w:ascii="Times New Roman" w:hAnsi="Times New Roman" w:cs="Times New Roman"/>
          <w:sz w:val="24"/>
        </w:rPr>
      </w:pPr>
      <w:r>
        <w:rPr>
          <w:rFonts w:ascii="Times New Roman" w:hAnsi="Times New Roman" w:cs="Times New Roman"/>
          <w:sz w:val="24"/>
        </w:rPr>
        <w:t xml:space="preserve">Qualité de la bureaucratie (4 points) : mesure la capacité de l’administration à mener les affaires courantes sans changements d’orientation majeurs ni interruption des services publics. Une note faible traduit une mauvaise qualité des institutions. </w:t>
      </w:r>
    </w:p>
    <w:p w14:paraId="10598374" w14:textId="77777777" w:rsidR="003A1034" w:rsidRDefault="00F93D0E">
      <w:pPr>
        <w:tabs>
          <w:tab w:val="left" w:pos="7377"/>
        </w:tabs>
        <w:spacing w:line="240" w:lineRule="auto"/>
        <w:jc w:val="both"/>
        <w:rPr>
          <w:rFonts w:ascii="Times New Roman" w:hAnsi="Times New Roman" w:cs="Times New Roman"/>
          <w:sz w:val="24"/>
        </w:rPr>
      </w:pPr>
      <w:r>
        <w:rPr>
          <w:rFonts w:ascii="Times New Roman" w:hAnsi="Times New Roman" w:cs="Times New Roman"/>
          <w:sz w:val="24"/>
        </w:rPr>
        <w:t>Le contrôle de la corruption (6 points) : l’indicateur de corruption mesure l’ampleur de l’exercice du pouvoir public pour l’enrichissement privé, ainsi que la mainmise des élites et des intérêts sur l’Etat. Une note faible indique une forte corruption de l’administration publique qui se traduit par des pots-de-vin, la fraude, l’évasion fiscale, le laxisme, le favoritisme dans les contrôles et l’octroi des licences.</w:t>
      </w:r>
    </w:p>
    <w:p w14:paraId="16C168F8" w14:textId="7483BA97" w:rsidR="003A1034" w:rsidRDefault="00F93D0E">
      <w:pPr>
        <w:tabs>
          <w:tab w:val="left" w:pos="7377"/>
        </w:tabs>
        <w:spacing w:line="240" w:lineRule="auto"/>
        <w:jc w:val="both"/>
        <w:rPr>
          <w:rFonts w:ascii="Times New Roman" w:hAnsi="Times New Roman" w:cs="Times New Roman"/>
          <w:sz w:val="24"/>
        </w:rPr>
      </w:pPr>
      <w:r>
        <w:rPr>
          <w:rFonts w:ascii="Times New Roman" w:hAnsi="Times New Roman" w:cs="Times New Roman"/>
          <w:sz w:val="24"/>
        </w:rPr>
        <w:lastRenderedPageBreak/>
        <w:t>Loi et ordre (6 points) : mesure la force et l’indépendance du système judiciaire, le degré de respect des règles de lois et de l’ordre par les citoyens, y compris la qualité des droits de propriété, la police et les tribunaux, ainsi que les risques de crime. Cet indicateur est obtenu par sommation de deux sous indicateurs : la loi (3 points) évalue la force et l’indépendance de l’appareil judiciaire et l’ordre (3 points) évalue le respect de la loi par la population.</w:t>
      </w:r>
    </w:p>
    <w:p w14:paraId="14E4A3A0" w14:textId="77777777" w:rsidR="003A1034" w:rsidRDefault="00F93D0E">
      <w:pPr>
        <w:pStyle w:val="Paragraphedeliste"/>
        <w:numPr>
          <w:ilvl w:val="0"/>
          <w:numId w:val="5"/>
        </w:numPr>
        <w:tabs>
          <w:tab w:val="left" w:pos="7377"/>
        </w:tabs>
        <w:jc w:val="both"/>
        <w:rPr>
          <w:b/>
        </w:rPr>
      </w:pPr>
      <w:r>
        <w:rPr>
          <w:b/>
        </w:rPr>
        <w:t>L’ouverture commerciale (</w:t>
      </w:r>
      <w:proofErr w:type="spellStart"/>
      <w:r>
        <w:rPr>
          <w:b/>
        </w:rPr>
        <w:t>trade</w:t>
      </w:r>
      <w:proofErr w:type="spellEnd"/>
      <w:r>
        <w:rPr>
          <w:b/>
        </w:rPr>
        <w:t xml:space="preserve">) </w:t>
      </w:r>
    </w:p>
    <w:p w14:paraId="2265E713" w14:textId="77777777" w:rsidR="003A1034" w:rsidRDefault="00F93D0E">
      <w:pPr>
        <w:tabs>
          <w:tab w:val="left" w:pos="7377"/>
        </w:tabs>
        <w:spacing w:line="240" w:lineRule="auto"/>
        <w:jc w:val="both"/>
        <w:rPr>
          <w:rFonts w:ascii="Times New Roman" w:hAnsi="Times New Roman" w:cs="Times New Roman"/>
          <w:sz w:val="24"/>
        </w:rPr>
      </w:pPr>
      <w:r>
        <w:rPr>
          <w:rFonts w:ascii="Times New Roman" w:hAnsi="Times New Roman" w:cs="Times New Roman"/>
          <w:sz w:val="24"/>
        </w:rPr>
        <w:t>Le taux d'ouverture d'une économie mesure la place que tient le reste du monde dans l'économie du pays. L’ouverture commerciale est mesurée par la somme des exportations et des importations rapportées au PIB.</w:t>
      </w:r>
    </w:p>
    <w:p w14:paraId="3A5E955A" w14:textId="77777777" w:rsidR="003A1034" w:rsidRDefault="00F93D0E">
      <w:pPr>
        <w:pStyle w:val="Paragraphedeliste"/>
        <w:numPr>
          <w:ilvl w:val="0"/>
          <w:numId w:val="6"/>
        </w:numPr>
        <w:tabs>
          <w:tab w:val="left" w:pos="7377"/>
        </w:tabs>
        <w:jc w:val="both"/>
        <w:rPr>
          <w:b/>
        </w:rPr>
      </w:pPr>
      <w:r>
        <w:rPr>
          <w:b/>
        </w:rPr>
        <w:t>Le capital humain (</w:t>
      </w:r>
      <w:proofErr w:type="spellStart"/>
      <w:r>
        <w:rPr>
          <w:b/>
        </w:rPr>
        <w:t>ch</w:t>
      </w:r>
      <w:proofErr w:type="spellEnd"/>
      <w:r>
        <w:rPr>
          <w:b/>
        </w:rPr>
        <w:t>)</w:t>
      </w:r>
    </w:p>
    <w:p w14:paraId="5994622E" w14:textId="77777777" w:rsidR="003A1034" w:rsidRDefault="00F93D0E">
      <w:pPr>
        <w:tabs>
          <w:tab w:val="left" w:pos="7377"/>
        </w:tabs>
        <w:spacing w:line="240" w:lineRule="auto"/>
        <w:jc w:val="both"/>
        <w:rPr>
          <w:rFonts w:ascii="Times New Roman" w:hAnsi="Times New Roman" w:cs="Times New Roman"/>
          <w:sz w:val="24"/>
        </w:rPr>
      </w:pPr>
      <w:r>
        <w:rPr>
          <w:rFonts w:ascii="Times New Roman" w:hAnsi="Times New Roman" w:cs="Times New Roman"/>
          <w:sz w:val="24"/>
        </w:rPr>
        <w:t xml:space="preserve">Le capital humain est mesuré par la durée moyenne de scolarisation. Il permet de saisir l’effet du niveau d’éducation sur la croissance. </w:t>
      </w:r>
    </w:p>
    <w:p w14:paraId="2C87594D" w14:textId="77777777" w:rsidR="003A1034" w:rsidRDefault="00F93D0E">
      <w:pPr>
        <w:pStyle w:val="Paragraphedeliste"/>
        <w:numPr>
          <w:ilvl w:val="0"/>
          <w:numId w:val="7"/>
        </w:numPr>
        <w:tabs>
          <w:tab w:val="left" w:pos="7377"/>
        </w:tabs>
        <w:jc w:val="both"/>
        <w:rPr>
          <w:b/>
        </w:rPr>
      </w:pPr>
      <w:r>
        <w:rPr>
          <w:b/>
        </w:rPr>
        <w:t>Les dépenses publiques (</w:t>
      </w:r>
      <w:proofErr w:type="spellStart"/>
      <w:r>
        <w:rPr>
          <w:b/>
        </w:rPr>
        <w:t>dp</w:t>
      </w:r>
      <w:proofErr w:type="spellEnd"/>
      <w:r>
        <w:rPr>
          <w:b/>
        </w:rPr>
        <w:t>)</w:t>
      </w:r>
    </w:p>
    <w:p w14:paraId="5F79A99A" w14:textId="77777777" w:rsidR="003A1034" w:rsidRDefault="00F93D0E">
      <w:pPr>
        <w:tabs>
          <w:tab w:val="left" w:pos="7377"/>
        </w:tabs>
        <w:spacing w:line="240" w:lineRule="auto"/>
        <w:jc w:val="both"/>
        <w:rPr>
          <w:rFonts w:ascii="Times New Roman" w:hAnsi="Times New Roman" w:cs="Times New Roman"/>
          <w:sz w:val="24"/>
        </w:rPr>
      </w:pPr>
      <w:r>
        <w:rPr>
          <w:rFonts w:ascii="Times New Roman" w:hAnsi="Times New Roman" w:cs="Times New Roman"/>
          <w:sz w:val="24"/>
        </w:rPr>
        <w:t>Les dépenses publiques sont l’ensemble des dépenses réalisées par les administrations publiques. Elles sont introduites dans le but de capter l’effet des investissements publics sur la croissance.</w:t>
      </w:r>
    </w:p>
    <w:p w14:paraId="596C4F7C" w14:textId="77777777" w:rsidR="003A1034" w:rsidRDefault="00F93D0E">
      <w:pPr>
        <w:pStyle w:val="Paragraphedeliste"/>
        <w:numPr>
          <w:ilvl w:val="0"/>
          <w:numId w:val="8"/>
        </w:numPr>
        <w:tabs>
          <w:tab w:val="left" w:pos="7377"/>
        </w:tabs>
        <w:jc w:val="both"/>
        <w:rPr>
          <w:b/>
        </w:rPr>
      </w:pPr>
      <w:r>
        <w:rPr>
          <w:b/>
        </w:rPr>
        <w:t>Le taux d’inflation (i)</w:t>
      </w:r>
    </w:p>
    <w:p w14:paraId="2B324062" w14:textId="39D87B56" w:rsidR="003A1034" w:rsidRDefault="00F93D0E">
      <w:pPr>
        <w:tabs>
          <w:tab w:val="left" w:pos="7377"/>
        </w:tabs>
        <w:spacing w:line="240" w:lineRule="auto"/>
        <w:jc w:val="both"/>
        <w:rPr>
          <w:rFonts w:ascii="Times New Roman" w:hAnsi="Times New Roman" w:cs="Times New Roman"/>
          <w:sz w:val="24"/>
        </w:rPr>
      </w:pPr>
      <w:r>
        <w:rPr>
          <w:rFonts w:ascii="Times New Roman" w:hAnsi="Times New Roman" w:cs="Times New Roman"/>
          <w:sz w:val="24"/>
        </w:rPr>
        <w:t>L'inflation est la perte du pouvoir d’achat de la monnaie qui se traduit par une augmentation générale et durable des prix</w:t>
      </w:r>
      <w:r>
        <w:rPr>
          <w:rFonts w:ascii="Times New Roman" w:hAnsi="Times New Roman" w:cs="Times New Roman"/>
          <w:vanish/>
          <w:sz w:val="24"/>
        </w:rPr>
        <w:t>[]</w:t>
      </w:r>
      <w:r>
        <w:rPr>
          <w:rFonts w:ascii="Times New Roman" w:hAnsi="Times New Roman" w:cs="Times New Roman"/>
          <w:sz w:val="24"/>
        </w:rPr>
        <w:t>. Il est introduit pour capter l’impact de la stabilisation macroéconomique sur la croissance.</w:t>
      </w:r>
    </w:p>
    <w:p w14:paraId="41DCBE80" w14:textId="0FFE0583" w:rsidR="003A1034" w:rsidRDefault="00F93D0E">
      <w:pPr>
        <w:pStyle w:val="Paragraphedeliste"/>
        <w:numPr>
          <w:ilvl w:val="0"/>
          <w:numId w:val="9"/>
        </w:numPr>
        <w:tabs>
          <w:tab w:val="left" w:pos="7377"/>
        </w:tabs>
        <w:jc w:val="both"/>
        <w:rPr>
          <w:b/>
        </w:rPr>
      </w:pPr>
      <w:r>
        <w:rPr>
          <w:b/>
        </w:rPr>
        <w:t>L’aide publique au développement</w:t>
      </w:r>
      <w:r w:rsidR="00C12368">
        <w:rPr>
          <w:b/>
        </w:rPr>
        <w:t xml:space="preserve"> </w:t>
      </w:r>
      <w:r w:rsidRPr="00543C9A">
        <w:rPr>
          <w:b/>
        </w:rPr>
        <w:t>(</w:t>
      </w:r>
      <w:proofErr w:type="spellStart"/>
      <w:r w:rsidRPr="00543C9A">
        <w:rPr>
          <w:rFonts w:eastAsiaTheme="minorHAnsi"/>
          <w:b/>
          <w:szCs w:val="22"/>
          <w:lang w:eastAsia="en-US"/>
        </w:rPr>
        <w:t>aidepib</w:t>
      </w:r>
      <w:proofErr w:type="spellEnd"/>
      <w:r w:rsidRPr="00543C9A">
        <w:rPr>
          <w:rFonts w:eastAsiaTheme="minorHAnsi"/>
          <w:b/>
          <w:szCs w:val="22"/>
          <w:lang w:eastAsia="en-US"/>
        </w:rPr>
        <w:t>)</w:t>
      </w:r>
    </w:p>
    <w:p w14:paraId="4C85189B" w14:textId="77777777" w:rsidR="003A1034" w:rsidRDefault="00F93D0E">
      <w:pPr>
        <w:tabs>
          <w:tab w:val="left" w:pos="7377"/>
        </w:tabs>
        <w:spacing w:line="240" w:lineRule="auto"/>
        <w:jc w:val="both"/>
        <w:rPr>
          <w:rFonts w:ascii="Times New Roman" w:hAnsi="Times New Roman" w:cs="Times New Roman"/>
          <w:sz w:val="24"/>
        </w:rPr>
      </w:pPr>
      <w:r>
        <w:rPr>
          <w:rFonts w:ascii="Times New Roman" w:hAnsi="Times New Roman" w:cs="Times New Roman"/>
          <w:sz w:val="24"/>
        </w:rPr>
        <w:t>Elle est définie comme étant une aide fournie par les États dans le but exprès de promouvoir le développement économique et d’améliorer les conditions de vie dans les pays en développement.</w:t>
      </w:r>
    </w:p>
    <w:p w14:paraId="1B593026" w14:textId="77777777" w:rsidR="003A1034" w:rsidRDefault="00F93D0E">
      <w:pPr>
        <w:tabs>
          <w:tab w:val="left" w:pos="7377"/>
        </w:tabs>
        <w:spacing w:line="240" w:lineRule="auto"/>
        <w:jc w:val="both"/>
        <w:rPr>
          <w:rFonts w:ascii="Times New Roman" w:hAnsi="Times New Roman" w:cs="Times New Roman"/>
          <w:sz w:val="24"/>
        </w:rPr>
      </w:pPr>
      <w:r>
        <w:rPr>
          <w:rFonts w:ascii="Times New Roman" w:hAnsi="Times New Roman" w:cs="Times New Roman"/>
          <w:sz w:val="24"/>
        </w:rPr>
        <w:t>Les variables explicatives du modèle et leurs signes attendues sont résumés dans le tableau 1.</w:t>
      </w:r>
    </w:p>
    <w:p w14:paraId="290DBF90" w14:textId="77777777" w:rsidR="003A1034" w:rsidRDefault="00F93D0E">
      <w:pPr>
        <w:tabs>
          <w:tab w:val="left" w:pos="7377"/>
        </w:tabs>
        <w:spacing w:line="240" w:lineRule="auto"/>
        <w:jc w:val="both"/>
        <w:rPr>
          <w:rFonts w:ascii="Times New Roman" w:hAnsi="Times New Roman" w:cs="Times New Roman"/>
          <w:b/>
          <w:sz w:val="24"/>
        </w:rPr>
      </w:pPr>
      <w:bookmarkStart w:id="3" w:name="_Toc500706331"/>
      <w:r>
        <w:rPr>
          <w:rFonts w:ascii="Times New Roman" w:hAnsi="Times New Roman" w:cs="Times New Roman"/>
          <w:b/>
          <w:sz w:val="24"/>
        </w:rPr>
        <w:t xml:space="preserve">Tableau </w:t>
      </w:r>
      <w:r>
        <w:rPr>
          <w:rFonts w:ascii="Times New Roman" w:hAnsi="Times New Roman" w:cs="Times New Roman"/>
          <w:b/>
          <w:sz w:val="24"/>
        </w:rPr>
        <w:fldChar w:fldCharType="begin"/>
      </w:r>
      <w:r>
        <w:rPr>
          <w:rFonts w:ascii="Times New Roman" w:hAnsi="Times New Roman" w:cs="Times New Roman"/>
          <w:b/>
          <w:sz w:val="24"/>
        </w:rPr>
        <w:instrText xml:space="preserve"> SEQ Tableau \* ARABIC </w:instrText>
      </w:r>
      <w:r>
        <w:rPr>
          <w:rFonts w:ascii="Times New Roman" w:hAnsi="Times New Roman" w:cs="Times New Roman"/>
          <w:b/>
          <w:sz w:val="24"/>
        </w:rPr>
        <w:fldChar w:fldCharType="separate"/>
      </w:r>
      <w:r>
        <w:rPr>
          <w:rFonts w:ascii="Times New Roman" w:hAnsi="Times New Roman" w:cs="Times New Roman"/>
          <w:b/>
          <w:sz w:val="24"/>
        </w:rPr>
        <w:t>1</w:t>
      </w:r>
      <w:r>
        <w:rPr>
          <w:rFonts w:ascii="Times New Roman" w:hAnsi="Times New Roman" w:cs="Times New Roman"/>
          <w:b/>
          <w:sz w:val="24"/>
        </w:rPr>
        <w:fldChar w:fldCharType="end"/>
      </w:r>
      <w:r>
        <w:rPr>
          <w:rFonts w:ascii="Times New Roman" w:hAnsi="Times New Roman" w:cs="Times New Roman"/>
          <w:b/>
          <w:sz w:val="24"/>
        </w:rPr>
        <w:t>: synthèses des variables et signes attendus</w:t>
      </w:r>
      <w:bookmarkEnd w:id="3"/>
    </w:p>
    <w:tbl>
      <w:tblPr>
        <w:tblStyle w:val="Trameclaire-Accent1"/>
        <w:tblW w:w="5000" w:type="pct"/>
        <w:tblLook w:val="04A0" w:firstRow="1" w:lastRow="0" w:firstColumn="1" w:lastColumn="0" w:noHBand="0" w:noVBand="1"/>
      </w:tblPr>
      <w:tblGrid>
        <w:gridCol w:w="3545"/>
        <w:gridCol w:w="2811"/>
        <w:gridCol w:w="174"/>
        <w:gridCol w:w="2542"/>
      </w:tblGrid>
      <w:tr w:rsidR="003A1034" w14:paraId="71866713" w14:textId="77777777" w:rsidTr="003A1034">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5000" w:type="pct"/>
            <w:gridSpan w:val="4"/>
            <w:noWrap/>
          </w:tcPr>
          <w:p w14:paraId="0F7AB535" w14:textId="77777777" w:rsidR="003A1034" w:rsidRDefault="00F93D0E">
            <w:pPr>
              <w:tabs>
                <w:tab w:val="left" w:pos="7377"/>
              </w:tabs>
              <w:spacing w:line="240" w:lineRule="auto"/>
              <w:jc w:val="both"/>
              <w:rPr>
                <w:rFonts w:ascii="Times New Roman" w:hAnsi="Times New Roman" w:cs="Times New Roman"/>
                <w:color w:val="auto"/>
                <w:sz w:val="24"/>
              </w:rPr>
            </w:pPr>
            <w:r>
              <w:rPr>
                <w:rFonts w:ascii="Times New Roman" w:hAnsi="Times New Roman" w:cs="Times New Roman"/>
                <w:color w:val="auto"/>
                <w:sz w:val="24"/>
              </w:rPr>
              <w:t>Variable expliquée : Taux de croissance du PIB réel par tête</w:t>
            </w:r>
          </w:p>
        </w:tc>
      </w:tr>
      <w:tr w:rsidR="003A1034" w14:paraId="762ABE28" w14:textId="77777777" w:rsidTr="00D92BF6">
        <w:trPr>
          <w:trHeight w:val="406"/>
        </w:trPr>
        <w:tc>
          <w:tcPr>
            <w:cnfStyle w:val="001000000000" w:firstRow="0" w:lastRow="0" w:firstColumn="1" w:lastColumn="0" w:oddVBand="0" w:evenVBand="0" w:oddHBand="0" w:evenHBand="0" w:firstRowFirstColumn="0" w:firstRowLastColumn="0" w:lastRowFirstColumn="0" w:lastRowLastColumn="0"/>
            <w:tcW w:w="1954" w:type="pct"/>
            <w:tcBorders>
              <w:top w:val="nil"/>
              <w:left w:val="nil"/>
              <w:bottom w:val="nil"/>
              <w:right w:val="nil"/>
            </w:tcBorders>
            <w:noWrap/>
          </w:tcPr>
          <w:p w14:paraId="4C2D4647" w14:textId="77777777" w:rsidR="003A1034" w:rsidRDefault="00F93D0E">
            <w:pPr>
              <w:tabs>
                <w:tab w:val="left" w:pos="7377"/>
              </w:tabs>
              <w:spacing w:line="240" w:lineRule="auto"/>
              <w:jc w:val="both"/>
              <w:rPr>
                <w:rFonts w:ascii="Times New Roman" w:hAnsi="Times New Roman" w:cs="Times New Roman"/>
                <w:b w:val="0"/>
                <w:bCs w:val="0"/>
                <w:color w:val="auto"/>
                <w:sz w:val="24"/>
              </w:rPr>
            </w:pPr>
            <w:r>
              <w:rPr>
                <w:rFonts w:ascii="Times New Roman" w:hAnsi="Times New Roman" w:cs="Times New Roman"/>
                <w:color w:val="auto"/>
                <w:sz w:val="24"/>
              </w:rPr>
              <w:t>Variables explicatives</w:t>
            </w:r>
          </w:p>
        </w:tc>
        <w:tc>
          <w:tcPr>
            <w:tcW w:w="1549" w:type="pct"/>
            <w:tcBorders>
              <w:top w:val="nil"/>
              <w:left w:val="nil"/>
              <w:bottom w:val="nil"/>
              <w:right w:val="nil"/>
            </w:tcBorders>
          </w:tcPr>
          <w:p w14:paraId="7FEDEDBA" w14:textId="77777777" w:rsidR="003A1034" w:rsidRDefault="00F93D0E">
            <w:pPr>
              <w:tabs>
                <w:tab w:val="left" w:pos="7377"/>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Notations</w:t>
            </w:r>
          </w:p>
        </w:tc>
        <w:tc>
          <w:tcPr>
            <w:tcW w:w="1497" w:type="pct"/>
            <w:gridSpan w:val="2"/>
            <w:tcBorders>
              <w:top w:val="nil"/>
              <w:left w:val="nil"/>
              <w:bottom w:val="nil"/>
              <w:right w:val="nil"/>
            </w:tcBorders>
          </w:tcPr>
          <w:p w14:paraId="65C5F3E6" w14:textId="77777777" w:rsidR="003A1034" w:rsidRDefault="00F93D0E">
            <w:pPr>
              <w:tabs>
                <w:tab w:val="left" w:pos="7377"/>
              </w:tabs>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Signes attendus</w:t>
            </w:r>
          </w:p>
        </w:tc>
      </w:tr>
      <w:tr w:rsidR="003A1034" w14:paraId="56C43E38" w14:textId="77777777" w:rsidTr="003A1034">
        <w:trPr>
          <w:trHeight w:val="406"/>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left w:val="nil"/>
              <w:bottom w:val="nil"/>
              <w:right w:val="nil"/>
            </w:tcBorders>
            <w:noWrap/>
          </w:tcPr>
          <w:p w14:paraId="60CDEB2E" w14:textId="77777777" w:rsidR="003A1034" w:rsidRDefault="00F93D0E">
            <w:pPr>
              <w:tabs>
                <w:tab w:val="left" w:pos="7377"/>
              </w:tabs>
              <w:spacing w:line="240" w:lineRule="auto"/>
              <w:jc w:val="both"/>
              <w:rPr>
                <w:rFonts w:ascii="Times New Roman" w:hAnsi="Times New Roman" w:cs="Times New Roman"/>
                <w:b w:val="0"/>
                <w:bCs w:val="0"/>
                <w:color w:val="auto"/>
                <w:sz w:val="24"/>
              </w:rPr>
            </w:pPr>
            <w:r>
              <w:rPr>
                <w:rFonts w:ascii="Times New Roman" w:hAnsi="Times New Roman" w:cs="Times New Roman"/>
                <w:color w:val="auto"/>
                <w:sz w:val="24"/>
              </w:rPr>
              <w:t xml:space="preserve">                                          Variables d’intérêt</w:t>
            </w:r>
          </w:p>
        </w:tc>
      </w:tr>
      <w:tr w:rsidR="003A1034" w14:paraId="5862F6B1" w14:textId="77777777" w:rsidTr="00D92BF6">
        <w:trPr>
          <w:trHeight w:val="406"/>
        </w:trPr>
        <w:tc>
          <w:tcPr>
            <w:cnfStyle w:val="001000000000" w:firstRow="0" w:lastRow="0" w:firstColumn="1" w:lastColumn="0" w:oddVBand="0" w:evenVBand="0" w:oddHBand="0" w:evenHBand="0" w:firstRowFirstColumn="0" w:firstRowLastColumn="0" w:lastRowFirstColumn="0" w:lastRowLastColumn="0"/>
            <w:tcW w:w="1954" w:type="pct"/>
            <w:tcBorders>
              <w:top w:val="nil"/>
              <w:left w:val="nil"/>
              <w:bottom w:val="nil"/>
              <w:right w:val="nil"/>
            </w:tcBorders>
            <w:noWrap/>
          </w:tcPr>
          <w:p w14:paraId="4193C382" w14:textId="77777777" w:rsidR="003A1034" w:rsidRDefault="00F93D0E">
            <w:pPr>
              <w:tabs>
                <w:tab w:val="left" w:pos="7377"/>
              </w:tabs>
              <w:spacing w:line="240" w:lineRule="auto"/>
              <w:jc w:val="both"/>
              <w:rPr>
                <w:rFonts w:ascii="Times New Roman" w:hAnsi="Times New Roman" w:cs="Times New Roman"/>
                <w:b w:val="0"/>
                <w:bCs w:val="0"/>
                <w:color w:val="auto"/>
                <w:sz w:val="24"/>
              </w:rPr>
            </w:pPr>
            <w:r>
              <w:rPr>
                <w:rFonts w:ascii="Times New Roman" w:hAnsi="Times New Roman" w:cs="Times New Roman"/>
                <w:color w:val="auto"/>
                <w:sz w:val="24"/>
              </w:rPr>
              <w:t>Volume du crédit/PIB</w:t>
            </w:r>
          </w:p>
        </w:tc>
        <w:tc>
          <w:tcPr>
            <w:tcW w:w="1645" w:type="pct"/>
            <w:gridSpan w:val="2"/>
            <w:tcBorders>
              <w:top w:val="nil"/>
              <w:left w:val="nil"/>
              <w:bottom w:val="nil"/>
              <w:right w:val="nil"/>
            </w:tcBorders>
          </w:tcPr>
          <w:p w14:paraId="5CC031E9" w14:textId="77777777" w:rsidR="003A1034" w:rsidRDefault="00F93D0E">
            <w:pPr>
              <w:tabs>
                <w:tab w:val="left" w:pos="73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roofErr w:type="spellStart"/>
            <w:r>
              <w:rPr>
                <w:rFonts w:ascii="Times New Roman" w:hAnsi="Times New Roman" w:cs="Times New Roman"/>
                <w:color w:val="auto"/>
                <w:sz w:val="24"/>
              </w:rPr>
              <w:t>credpriv</w:t>
            </w:r>
            <w:proofErr w:type="spellEnd"/>
            <w:r>
              <w:rPr>
                <w:rFonts w:ascii="Times New Roman" w:hAnsi="Times New Roman" w:cs="Times New Roman"/>
                <w:color w:val="auto"/>
                <w:sz w:val="24"/>
              </w:rPr>
              <w:t xml:space="preserve"> (%)</w:t>
            </w:r>
          </w:p>
        </w:tc>
        <w:tc>
          <w:tcPr>
            <w:tcW w:w="1402" w:type="pct"/>
            <w:tcBorders>
              <w:top w:val="nil"/>
              <w:left w:val="nil"/>
              <w:bottom w:val="nil"/>
              <w:right w:val="nil"/>
            </w:tcBorders>
          </w:tcPr>
          <w:p w14:paraId="54478FC2" w14:textId="77777777" w:rsidR="003A1034" w:rsidRDefault="00F93D0E">
            <w:pPr>
              <w:tabs>
                <w:tab w:val="left" w:pos="73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w:t>
            </w:r>
          </w:p>
        </w:tc>
      </w:tr>
      <w:tr w:rsidR="003A1034" w14:paraId="4F8CB1F4" w14:textId="77777777" w:rsidTr="00D92BF6">
        <w:trPr>
          <w:trHeight w:val="406"/>
        </w:trPr>
        <w:tc>
          <w:tcPr>
            <w:cnfStyle w:val="001000000000" w:firstRow="0" w:lastRow="0" w:firstColumn="1" w:lastColumn="0" w:oddVBand="0" w:evenVBand="0" w:oddHBand="0" w:evenHBand="0" w:firstRowFirstColumn="0" w:firstRowLastColumn="0" w:lastRowFirstColumn="0" w:lastRowLastColumn="0"/>
            <w:tcW w:w="1954" w:type="pct"/>
            <w:tcBorders>
              <w:top w:val="nil"/>
              <w:left w:val="nil"/>
              <w:bottom w:val="nil"/>
              <w:right w:val="nil"/>
            </w:tcBorders>
            <w:noWrap/>
          </w:tcPr>
          <w:p w14:paraId="679ECFBF" w14:textId="77777777" w:rsidR="003A1034" w:rsidRDefault="00F93D0E">
            <w:pPr>
              <w:tabs>
                <w:tab w:val="left" w:pos="7377"/>
              </w:tabs>
              <w:spacing w:line="240" w:lineRule="auto"/>
              <w:jc w:val="both"/>
              <w:rPr>
                <w:rFonts w:ascii="Times New Roman" w:hAnsi="Times New Roman" w:cs="Times New Roman"/>
                <w:b w:val="0"/>
                <w:bCs w:val="0"/>
                <w:color w:val="auto"/>
                <w:sz w:val="24"/>
              </w:rPr>
            </w:pPr>
            <w:r>
              <w:rPr>
                <w:rFonts w:ascii="Times New Roman" w:hAnsi="Times New Roman" w:cs="Times New Roman"/>
                <w:color w:val="auto"/>
                <w:sz w:val="24"/>
              </w:rPr>
              <w:t>Masse Monétaire2/PIB</w:t>
            </w:r>
          </w:p>
        </w:tc>
        <w:tc>
          <w:tcPr>
            <w:tcW w:w="1645" w:type="pct"/>
            <w:gridSpan w:val="2"/>
            <w:tcBorders>
              <w:top w:val="nil"/>
              <w:left w:val="nil"/>
              <w:bottom w:val="nil"/>
              <w:right w:val="nil"/>
            </w:tcBorders>
          </w:tcPr>
          <w:p w14:paraId="5294BE5C" w14:textId="77777777" w:rsidR="003A1034" w:rsidRDefault="00F93D0E">
            <w:pPr>
              <w:tabs>
                <w:tab w:val="left" w:pos="73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M2/PIB (%)</w:t>
            </w:r>
          </w:p>
        </w:tc>
        <w:tc>
          <w:tcPr>
            <w:tcW w:w="1402" w:type="pct"/>
            <w:tcBorders>
              <w:top w:val="nil"/>
              <w:left w:val="nil"/>
              <w:bottom w:val="nil"/>
              <w:right w:val="nil"/>
            </w:tcBorders>
          </w:tcPr>
          <w:p w14:paraId="2F579F72" w14:textId="77777777" w:rsidR="003A1034" w:rsidRDefault="00F93D0E">
            <w:pPr>
              <w:tabs>
                <w:tab w:val="left" w:pos="73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w:t>
            </w:r>
          </w:p>
        </w:tc>
      </w:tr>
      <w:tr w:rsidR="00D92BF6" w14:paraId="14069F4B" w14:textId="77777777" w:rsidTr="00D92BF6">
        <w:trPr>
          <w:trHeight w:val="406"/>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il"/>
              <w:left w:val="nil"/>
              <w:bottom w:val="nil"/>
              <w:right w:val="nil"/>
            </w:tcBorders>
            <w:noWrap/>
          </w:tcPr>
          <w:p w14:paraId="39913E0F" w14:textId="6F476C36" w:rsidR="00D92BF6" w:rsidRDefault="00D92BF6">
            <w:pPr>
              <w:tabs>
                <w:tab w:val="left" w:pos="7377"/>
              </w:tabs>
              <w:spacing w:line="240" w:lineRule="auto"/>
              <w:jc w:val="both"/>
              <w:rPr>
                <w:rFonts w:ascii="Times New Roman" w:hAnsi="Times New Roman" w:cs="Times New Roman"/>
                <w:color w:val="auto"/>
                <w:sz w:val="24"/>
              </w:rPr>
            </w:pPr>
            <w:r>
              <w:rPr>
                <w:rFonts w:ascii="Times New Roman" w:hAnsi="Times New Roman" w:cs="Times New Roman"/>
                <w:color w:val="auto"/>
                <w:sz w:val="24"/>
              </w:rPr>
              <w:t xml:space="preserve">                                         Variables de contrôle</w:t>
            </w:r>
          </w:p>
        </w:tc>
      </w:tr>
      <w:tr w:rsidR="003A1034" w14:paraId="2213201D" w14:textId="77777777" w:rsidTr="00D92BF6">
        <w:trPr>
          <w:trHeight w:val="406"/>
        </w:trPr>
        <w:tc>
          <w:tcPr>
            <w:cnfStyle w:val="001000000000" w:firstRow="0" w:lastRow="0" w:firstColumn="1" w:lastColumn="0" w:oddVBand="0" w:evenVBand="0" w:oddHBand="0" w:evenHBand="0" w:firstRowFirstColumn="0" w:firstRowLastColumn="0" w:lastRowFirstColumn="0" w:lastRowLastColumn="0"/>
            <w:tcW w:w="1954" w:type="pct"/>
            <w:tcBorders>
              <w:top w:val="nil"/>
              <w:left w:val="nil"/>
              <w:bottom w:val="nil"/>
              <w:right w:val="nil"/>
            </w:tcBorders>
            <w:noWrap/>
          </w:tcPr>
          <w:p w14:paraId="5D19AB8E" w14:textId="77777777" w:rsidR="003A1034" w:rsidRDefault="00F93D0E">
            <w:pPr>
              <w:tabs>
                <w:tab w:val="left" w:pos="7377"/>
              </w:tabs>
              <w:spacing w:after="0" w:line="240" w:lineRule="auto"/>
              <w:jc w:val="both"/>
              <w:rPr>
                <w:rFonts w:ascii="Times New Roman" w:hAnsi="Times New Roman" w:cs="Times New Roman"/>
                <w:b w:val="0"/>
                <w:bCs w:val="0"/>
                <w:sz w:val="24"/>
              </w:rPr>
            </w:pPr>
            <w:r>
              <w:rPr>
                <w:rFonts w:ascii="Times New Roman" w:hAnsi="Times New Roman" w:cs="Times New Roman"/>
                <w:color w:val="auto"/>
                <w:sz w:val="24"/>
              </w:rPr>
              <w:t>Qualité institutionnelle</w:t>
            </w:r>
          </w:p>
        </w:tc>
        <w:tc>
          <w:tcPr>
            <w:tcW w:w="1645" w:type="pct"/>
            <w:gridSpan w:val="2"/>
            <w:tcBorders>
              <w:top w:val="nil"/>
              <w:left w:val="nil"/>
              <w:bottom w:val="nil"/>
              <w:right w:val="nil"/>
            </w:tcBorders>
          </w:tcPr>
          <w:p w14:paraId="3CD73FFA" w14:textId="77777777" w:rsidR="003A1034" w:rsidRDefault="00F93D0E">
            <w:pPr>
              <w:tabs>
                <w:tab w:val="left" w:pos="73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color w:val="auto"/>
                <w:sz w:val="24"/>
              </w:rPr>
              <w:t>ins</w:t>
            </w:r>
          </w:p>
        </w:tc>
        <w:tc>
          <w:tcPr>
            <w:tcW w:w="1402" w:type="pct"/>
            <w:tcBorders>
              <w:top w:val="nil"/>
              <w:left w:val="nil"/>
              <w:bottom w:val="nil"/>
              <w:right w:val="nil"/>
            </w:tcBorders>
          </w:tcPr>
          <w:p w14:paraId="28BE280C" w14:textId="77777777" w:rsidR="003A1034" w:rsidRDefault="00F93D0E">
            <w:pPr>
              <w:tabs>
                <w:tab w:val="left" w:pos="73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color w:val="auto"/>
                <w:sz w:val="24"/>
              </w:rPr>
              <w:t>+</w:t>
            </w:r>
          </w:p>
        </w:tc>
      </w:tr>
      <w:tr w:rsidR="003A1034" w14:paraId="735561F6" w14:textId="77777777" w:rsidTr="00D92BF6">
        <w:trPr>
          <w:trHeight w:val="406"/>
        </w:trPr>
        <w:tc>
          <w:tcPr>
            <w:cnfStyle w:val="001000000000" w:firstRow="0" w:lastRow="0" w:firstColumn="1" w:lastColumn="0" w:oddVBand="0" w:evenVBand="0" w:oddHBand="0" w:evenHBand="0" w:firstRowFirstColumn="0" w:firstRowLastColumn="0" w:lastRowFirstColumn="0" w:lastRowLastColumn="0"/>
            <w:tcW w:w="1954" w:type="pct"/>
            <w:tcBorders>
              <w:top w:val="nil"/>
              <w:left w:val="nil"/>
              <w:bottom w:val="nil"/>
              <w:right w:val="nil"/>
            </w:tcBorders>
            <w:noWrap/>
          </w:tcPr>
          <w:p w14:paraId="52C3C483" w14:textId="77777777" w:rsidR="003A1034" w:rsidRDefault="00F93D0E">
            <w:pPr>
              <w:tabs>
                <w:tab w:val="left" w:pos="7377"/>
              </w:tabs>
              <w:spacing w:line="240" w:lineRule="auto"/>
              <w:jc w:val="both"/>
              <w:rPr>
                <w:rFonts w:ascii="Times New Roman" w:hAnsi="Times New Roman" w:cs="Times New Roman"/>
                <w:b w:val="0"/>
                <w:bCs w:val="0"/>
                <w:color w:val="auto"/>
                <w:sz w:val="24"/>
              </w:rPr>
            </w:pPr>
            <w:r>
              <w:rPr>
                <w:rFonts w:ascii="Times New Roman" w:hAnsi="Times New Roman" w:cs="Times New Roman"/>
                <w:color w:val="auto"/>
                <w:sz w:val="24"/>
              </w:rPr>
              <w:t>Taux d’inflation</w:t>
            </w:r>
          </w:p>
        </w:tc>
        <w:tc>
          <w:tcPr>
            <w:tcW w:w="1645" w:type="pct"/>
            <w:gridSpan w:val="2"/>
            <w:tcBorders>
              <w:top w:val="nil"/>
              <w:left w:val="nil"/>
              <w:bottom w:val="nil"/>
              <w:right w:val="nil"/>
            </w:tcBorders>
          </w:tcPr>
          <w:p w14:paraId="3B56B679" w14:textId="77777777" w:rsidR="003A1034" w:rsidRDefault="00F93D0E">
            <w:pPr>
              <w:tabs>
                <w:tab w:val="left" w:pos="73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i</w:t>
            </w:r>
          </w:p>
        </w:tc>
        <w:tc>
          <w:tcPr>
            <w:tcW w:w="1402" w:type="pct"/>
            <w:tcBorders>
              <w:top w:val="nil"/>
              <w:left w:val="nil"/>
              <w:bottom w:val="nil"/>
              <w:right w:val="nil"/>
            </w:tcBorders>
          </w:tcPr>
          <w:p w14:paraId="08A3147B" w14:textId="77777777" w:rsidR="003A1034" w:rsidRDefault="00F93D0E">
            <w:pPr>
              <w:tabs>
                <w:tab w:val="left" w:pos="73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w:t>
            </w:r>
          </w:p>
        </w:tc>
      </w:tr>
      <w:tr w:rsidR="003A1034" w14:paraId="4024EC4A" w14:textId="77777777" w:rsidTr="00D92BF6">
        <w:trPr>
          <w:trHeight w:val="406"/>
        </w:trPr>
        <w:tc>
          <w:tcPr>
            <w:cnfStyle w:val="001000000000" w:firstRow="0" w:lastRow="0" w:firstColumn="1" w:lastColumn="0" w:oddVBand="0" w:evenVBand="0" w:oddHBand="0" w:evenHBand="0" w:firstRowFirstColumn="0" w:firstRowLastColumn="0" w:lastRowFirstColumn="0" w:lastRowLastColumn="0"/>
            <w:tcW w:w="1954" w:type="pct"/>
            <w:tcBorders>
              <w:top w:val="nil"/>
              <w:left w:val="nil"/>
              <w:bottom w:val="nil"/>
              <w:right w:val="nil"/>
            </w:tcBorders>
            <w:noWrap/>
          </w:tcPr>
          <w:p w14:paraId="2D9C0BCF" w14:textId="77777777" w:rsidR="003A1034" w:rsidRDefault="00F93D0E">
            <w:pPr>
              <w:tabs>
                <w:tab w:val="left" w:pos="7377"/>
              </w:tabs>
              <w:spacing w:line="240" w:lineRule="auto"/>
              <w:jc w:val="both"/>
              <w:rPr>
                <w:rFonts w:ascii="Times New Roman" w:hAnsi="Times New Roman" w:cs="Times New Roman"/>
                <w:b w:val="0"/>
                <w:bCs w:val="0"/>
                <w:color w:val="auto"/>
                <w:sz w:val="24"/>
              </w:rPr>
            </w:pPr>
            <w:r>
              <w:rPr>
                <w:rFonts w:ascii="Times New Roman" w:hAnsi="Times New Roman" w:cs="Times New Roman"/>
                <w:color w:val="auto"/>
                <w:sz w:val="24"/>
              </w:rPr>
              <w:t xml:space="preserve">Dépenses publiques </w:t>
            </w:r>
          </w:p>
        </w:tc>
        <w:tc>
          <w:tcPr>
            <w:tcW w:w="1645" w:type="pct"/>
            <w:gridSpan w:val="2"/>
            <w:tcBorders>
              <w:top w:val="nil"/>
              <w:left w:val="nil"/>
              <w:bottom w:val="nil"/>
              <w:right w:val="nil"/>
            </w:tcBorders>
          </w:tcPr>
          <w:p w14:paraId="567DDE56" w14:textId="77777777" w:rsidR="003A1034" w:rsidRDefault="00F93D0E">
            <w:pPr>
              <w:tabs>
                <w:tab w:val="left" w:pos="73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roofErr w:type="spellStart"/>
            <w:r>
              <w:rPr>
                <w:rFonts w:ascii="Times New Roman" w:hAnsi="Times New Roman" w:cs="Times New Roman"/>
                <w:color w:val="auto"/>
                <w:sz w:val="24"/>
              </w:rPr>
              <w:t>dp</w:t>
            </w:r>
            <w:proofErr w:type="spellEnd"/>
          </w:p>
        </w:tc>
        <w:tc>
          <w:tcPr>
            <w:tcW w:w="1402" w:type="pct"/>
            <w:tcBorders>
              <w:top w:val="nil"/>
              <w:left w:val="nil"/>
              <w:bottom w:val="nil"/>
              <w:right w:val="nil"/>
            </w:tcBorders>
          </w:tcPr>
          <w:p w14:paraId="35C776CA" w14:textId="77777777" w:rsidR="003A1034" w:rsidRDefault="00F93D0E">
            <w:pPr>
              <w:tabs>
                <w:tab w:val="left" w:pos="73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w:t>
            </w:r>
          </w:p>
        </w:tc>
      </w:tr>
      <w:tr w:rsidR="003A1034" w14:paraId="220AD7D8" w14:textId="77777777" w:rsidTr="00D92BF6">
        <w:trPr>
          <w:trHeight w:val="406"/>
        </w:trPr>
        <w:tc>
          <w:tcPr>
            <w:cnfStyle w:val="001000000000" w:firstRow="0" w:lastRow="0" w:firstColumn="1" w:lastColumn="0" w:oddVBand="0" w:evenVBand="0" w:oddHBand="0" w:evenHBand="0" w:firstRowFirstColumn="0" w:firstRowLastColumn="0" w:lastRowFirstColumn="0" w:lastRowLastColumn="0"/>
            <w:tcW w:w="1954" w:type="pct"/>
            <w:tcBorders>
              <w:top w:val="nil"/>
              <w:left w:val="nil"/>
              <w:bottom w:val="nil"/>
              <w:right w:val="nil"/>
            </w:tcBorders>
            <w:noWrap/>
          </w:tcPr>
          <w:p w14:paraId="6389A29B" w14:textId="77777777" w:rsidR="003A1034" w:rsidRDefault="00F93D0E">
            <w:pPr>
              <w:tabs>
                <w:tab w:val="left" w:pos="7377"/>
              </w:tabs>
              <w:spacing w:line="240" w:lineRule="auto"/>
              <w:jc w:val="both"/>
              <w:rPr>
                <w:rFonts w:ascii="Times New Roman" w:hAnsi="Times New Roman" w:cs="Times New Roman"/>
                <w:b w:val="0"/>
                <w:bCs w:val="0"/>
                <w:color w:val="auto"/>
                <w:sz w:val="24"/>
              </w:rPr>
            </w:pPr>
            <w:r>
              <w:rPr>
                <w:rFonts w:ascii="Times New Roman" w:hAnsi="Times New Roman" w:cs="Times New Roman"/>
                <w:color w:val="auto"/>
                <w:sz w:val="24"/>
              </w:rPr>
              <w:t>Capital humain</w:t>
            </w:r>
          </w:p>
        </w:tc>
        <w:tc>
          <w:tcPr>
            <w:tcW w:w="1645" w:type="pct"/>
            <w:gridSpan w:val="2"/>
            <w:tcBorders>
              <w:top w:val="nil"/>
              <w:left w:val="nil"/>
              <w:bottom w:val="nil"/>
              <w:right w:val="nil"/>
            </w:tcBorders>
          </w:tcPr>
          <w:p w14:paraId="322FF857" w14:textId="77777777" w:rsidR="003A1034" w:rsidRDefault="00F93D0E">
            <w:pPr>
              <w:tabs>
                <w:tab w:val="left" w:pos="73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roofErr w:type="spellStart"/>
            <w:r>
              <w:rPr>
                <w:rFonts w:ascii="Times New Roman" w:hAnsi="Times New Roman" w:cs="Times New Roman"/>
                <w:color w:val="auto"/>
                <w:sz w:val="24"/>
              </w:rPr>
              <w:t>ch</w:t>
            </w:r>
            <w:proofErr w:type="spellEnd"/>
          </w:p>
        </w:tc>
        <w:tc>
          <w:tcPr>
            <w:tcW w:w="1402" w:type="pct"/>
            <w:tcBorders>
              <w:top w:val="nil"/>
              <w:left w:val="nil"/>
              <w:bottom w:val="nil"/>
              <w:right w:val="nil"/>
            </w:tcBorders>
          </w:tcPr>
          <w:p w14:paraId="7556E7E3" w14:textId="77777777" w:rsidR="003A1034" w:rsidRDefault="00F93D0E">
            <w:pPr>
              <w:tabs>
                <w:tab w:val="left" w:pos="73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r>
              <w:rPr>
                <w:rFonts w:ascii="Times New Roman" w:hAnsi="Times New Roman" w:cs="Times New Roman"/>
                <w:color w:val="auto"/>
                <w:sz w:val="24"/>
              </w:rPr>
              <w:t>+</w:t>
            </w:r>
          </w:p>
        </w:tc>
      </w:tr>
      <w:tr w:rsidR="007F1CAD" w14:paraId="4CA5EB86" w14:textId="77777777" w:rsidTr="00D92BF6">
        <w:trPr>
          <w:trHeight w:val="406"/>
        </w:trPr>
        <w:tc>
          <w:tcPr>
            <w:cnfStyle w:val="001000000000" w:firstRow="0" w:lastRow="0" w:firstColumn="1" w:lastColumn="0" w:oddVBand="0" w:evenVBand="0" w:oddHBand="0" w:evenHBand="0" w:firstRowFirstColumn="0" w:firstRowLastColumn="0" w:lastRowFirstColumn="0" w:lastRowLastColumn="0"/>
            <w:tcW w:w="1954" w:type="pct"/>
            <w:tcBorders>
              <w:top w:val="nil"/>
              <w:left w:val="nil"/>
              <w:bottom w:val="nil"/>
              <w:right w:val="nil"/>
            </w:tcBorders>
            <w:noWrap/>
          </w:tcPr>
          <w:p w14:paraId="4A9AEB90" w14:textId="72E596B8" w:rsidR="007F1CAD" w:rsidRDefault="007F1CAD">
            <w:pPr>
              <w:tabs>
                <w:tab w:val="left" w:pos="7377"/>
              </w:tabs>
              <w:spacing w:line="240" w:lineRule="auto"/>
              <w:jc w:val="both"/>
              <w:rPr>
                <w:rFonts w:ascii="Times New Roman" w:hAnsi="Times New Roman" w:cs="Times New Roman"/>
                <w:sz w:val="24"/>
              </w:rPr>
            </w:pPr>
            <w:r w:rsidRPr="007F1CAD">
              <w:rPr>
                <w:rFonts w:ascii="Times New Roman" w:hAnsi="Times New Roman" w:cs="Times New Roman"/>
                <w:color w:val="auto"/>
                <w:sz w:val="24"/>
              </w:rPr>
              <w:lastRenderedPageBreak/>
              <w:t>Ouverture commerciale</w:t>
            </w:r>
          </w:p>
        </w:tc>
        <w:tc>
          <w:tcPr>
            <w:tcW w:w="1645" w:type="pct"/>
            <w:gridSpan w:val="2"/>
            <w:tcBorders>
              <w:top w:val="nil"/>
              <w:left w:val="nil"/>
              <w:bottom w:val="nil"/>
              <w:right w:val="nil"/>
            </w:tcBorders>
          </w:tcPr>
          <w:p w14:paraId="344BC4E9" w14:textId="2B91ABEA" w:rsidR="007F1CAD" w:rsidRPr="00236E9F" w:rsidRDefault="00236E9F">
            <w:pPr>
              <w:tabs>
                <w:tab w:val="left" w:pos="73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roofErr w:type="spellStart"/>
            <w:r w:rsidRPr="00236E9F">
              <w:rPr>
                <w:rFonts w:ascii="Times New Roman" w:hAnsi="Times New Roman" w:cs="Times New Roman"/>
                <w:bCs/>
                <w:color w:val="auto"/>
                <w:sz w:val="24"/>
              </w:rPr>
              <w:t>trade</w:t>
            </w:r>
            <w:proofErr w:type="spellEnd"/>
          </w:p>
        </w:tc>
        <w:tc>
          <w:tcPr>
            <w:tcW w:w="1402" w:type="pct"/>
            <w:tcBorders>
              <w:top w:val="nil"/>
              <w:left w:val="nil"/>
              <w:bottom w:val="nil"/>
              <w:right w:val="nil"/>
            </w:tcBorders>
          </w:tcPr>
          <w:p w14:paraId="59CDF110" w14:textId="2BE11231" w:rsidR="007F1CAD" w:rsidRDefault="00236E9F">
            <w:pPr>
              <w:tabs>
                <w:tab w:val="left" w:pos="73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r>
      <w:tr w:rsidR="003A1034" w14:paraId="6C108F2A" w14:textId="77777777" w:rsidTr="00D92BF6">
        <w:trPr>
          <w:trHeight w:val="406"/>
        </w:trPr>
        <w:tc>
          <w:tcPr>
            <w:cnfStyle w:val="001000000000" w:firstRow="0" w:lastRow="0" w:firstColumn="1" w:lastColumn="0" w:oddVBand="0" w:evenVBand="0" w:oddHBand="0" w:evenHBand="0" w:firstRowFirstColumn="0" w:firstRowLastColumn="0" w:lastRowFirstColumn="0" w:lastRowLastColumn="0"/>
            <w:tcW w:w="1954" w:type="pct"/>
            <w:tcBorders>
              <w:top w:val="nil"/>
              <w:left w:val="nil"/>
              <w:bottom w:val="nil"/>
              <w:right w:val="nil"/>
            </w:tcBorders>
            <w:noWrap/>
          </w:tcPr>
          <w:p w14:paraId="15072DFF" w14:textId="77777777" w:rsidR="003A1034" w:rsidRDefault="00F93D0E">
            <w:pPr>
              <w:tabs>
                <w:tab w:val="left" w:pos="7377"/>
              </w:tabs>
              <w:spacing w:after="0" w:line="240" w:lineRule="auto"/>
              <w:jc w:val="both"/>
              <w:rPr>
                <w:rFonts w:ascii="Times New Roman" w:hAnsi="Times New Roman" w:cs="Times New Roman"/>
                <w:b w:val="0"/>
                <w:bCs w:val="0"/>
                <w:color w:val="000000" w:themeColor="text1"/>
                <w:sz w:val="24"/>
              </w:rPr>
            </w:pPr>
            <w:r>
              <w:rPr>
                <w:color w:val="000000" w:themeColor="text1"/>
              </w:rPr>
              <w:t>A</w:t>
            </w:r>
            <w:r>
              <w:rPr>
                <w:rFonts w:ascii="Times New Roman" w:hAnsi="Times New Roman" w:cs="Times New Roman"/>
                <w:color w:val="000000" w:themeColor="text1"/>
                <w:sz w:val="24"/>
                <w:szCs w:val="24"/>
              </w:rPr>
              <w:t>ide publique au développement</w:t>
            </w:r>
          </w:p>
        </w:tc>
        <w:tc>
          <w:tcPr>
            <w:tcW w:w="1645" w:type="pct"/>
            <w:gridSpan w:val="2"/>
            <w:tcBorders>
              <w:top w:val="nil"/>
              <w:left w:val="nil"/>
              <w:bottom w:val="nil"/>
              <w:right w:val="nil"/>
            </w:tcBorders>
          </w:tcPr>
          <w:p w14:paraId="4F7C4FC6" w14:textId="77777777" w:rsidR="003A1034" w:rsidRDefault="00F93D0E">
            <w:pPr>
              <w:tabs>
                <w:tab w:val="left" w:pos="73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rPr>
            </w:pPr>
            <w:proofErr w:type="spellStart"/>
            <w:r>
              <w:rPr>
                <w:rFonts w:ascii="Times New Roman" w:hAnsi="Times New Roman" w:cs="Times New Roman"/>
                <w:color w:val="000000" w:themeColor="text1"/>
                <w:sz w:val="24"/>
              </w:rPr>
              <w:t>aidepib</w:t>
            </w:r>
            <w:proofErr w:type="spellEnd"/>
          </w:p>
        </w:tc>
        <w:tc>
          <w:tcPr>
            <w:tcW w:w="1402" w:type="pct"/>
            <w:tcBorders>
              <w:top w:val="nil"/>
              <w:left w:val="nil"/>
              <w:bottom w:val="nil"/>
              <w:right w:val="nil"/>
            </w:tcBorders>
          </w:tcPr>
          <w:p w14:paraId="6F0D4B59" w14:textId="77777777" w:rsidR="003A1034" w:rsidRDefault="00F93D0E">
            <w:pPr>
              <w:tabs>
                <w:tab w:val="left" w:pos="73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w:t>
            </w:r>
          </w:p>
        </w:tc>
      </w:tr>
      <w:tr w:rsidR="003A1034" w14:paraId="577741B1" w14:textId="77777777" w:rsidTr="00D92BF6">
        <w:trPr>
          <w:trHeight w:val="631"/>
        </w:trPr>
        <w:tc>
          <w:tcPr>
            <w:cnfStyle w:val="001000000000" w:firstRow="0" w:lastRow="0" w:firstColumn="1" w:lastColumn="0" w:oddVBand="0" w:evenVBand="0" w:oddHBand="0" w:evenHBand="0" w:firstRowFirstColumn="0" w:firstRowLastColumn="0" w:lastRowFirstColumn="0" w:lastRowLastColumn="0"/>
            <w:tcW w:w="3598" w:type="pct"/>
            <w:gridSpan w:val="3"/>
            <w:tcBorders>
              <w:top w:val="single" w:sz="8" w:space="0" w:color="4F81BD" w:themeColor="accent1"/>
              <w:left w:val="nil"/>
              <w:bottom w:val="nil"/>
              <w:right w:val="nil"/>
            </w:tcBorders>
            <w:noWrap/>
          </w:tcPr>
          <w:p w14:paraId="52512595" w14:textId="77777777" w:rsidR="003A1034" w:rsidRDefault="00F93D0E">
            <w:pPr>
              <w:tabs>
                <w:tab w:val="left" w:pos="7377"/>
              </w:tabs>
              <w:spacing w:after="0" w:line="240" w:lineRule="auto"/>
              <w:jc w:val="both"/>
              <w:rPr>
                <w:rFonts w:ascii="Times New Roman" w:hAnsi="Times New Roman" w:cs="Times New Roman"/>
                <w:b w:val="0"/>
                <w:bCs w:val="0"/>
                <w:color w:val="auto"/>
                <w:sz w:val="24"/>
              </w:rPr>
            </w:pPr>
            <w:r>
              <w:rPr>
                <w:rFonts w:ascii="Times New Roman" w:hAnsi="Times New Roman" w:cs="Times New Roman"/>
                <w:b w:val="0"/>
                <w:bCs w:val="0"/>
                <w:i/>
                <w:iCs/>
                <w:color w:val="auto"/>
                <w:sz w:val="24"/>
              </w:rPr>
              <w:t>Source : construit par l’auteur</w:t>
            </w:r>
          </w:p>
        </w:tc>
        <w:tc>
          <w:tcPr>
            <w:tcW w:w="1402" w:type="pct"/>
            <w:tcBorders>
              <w:top w:val="single" w:sz="8" w:space="0" w:color="4F81BD" w:themeColor="accent1"/>
              <w:bottom w:val="nil"/>
              <w:right w:val="nil"/>
            </w:tcBorders>
          </w:tcPr>
          <w:p w14:paraId="0E1BB18E" w14:textId="77777777" w:rsidR="003A1034" w:rsidRDefault="003A1034">
            <w:pPr>
              <w:tabs>
                <w:tab w:val="left" w:pos="7377"/>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rPr>
            </w:pPr>
          </w:p>
        </w:tc>
      </w:tr>
    </w:tbl>
    <w:p w14:paraId="48A782AD" w14:textId="77777777" w:rsidR="003A1034" w:rsidRDefault="003A1034">
      <w:pPr>
        <w:pStyle w:val="NormalWeb"/>
        <w:spacing w:line="276" w:lineRule="auto"/>
        <w:jc w:val="both"/>
        <w:rPr>
          <w:b/>
          <w:color w:val="000000" w:themeColor="text1"/>
        </w:rPr>
      </w:pPr>
    </w:p>
    <w:p w14:paraId="5D4D1165" w14:textId="77777777" w:rsidR="003A1034" w:rsidRDefault="00F93D0E">
      <w:pPr>
        <w:pStyle w:val="NormalWeb"/>
        <w:numPr>
          <w:ilvl w:val="1"/>
          <w:numId w:val="2"/>
        </w:numPr>
        <w:spacing w:line="276" w:lineRule="auto"/>
        <w:jc w:val="both"/>
        <w:rPr>
          <w:b/>
          <w:color w:val="000000" w:themeColor="text1"/>
        </w:rPr>
      </w:pPr>
      <w:r>
        <w:rPr>
          <w:b/>
          <w:color w:val="000000" w:themeColor="text1"/>
        </w:rPr>
        <w:t>Présentation des sources de données</w:t>
      </w:r>
    </w:p>
    <w:p w14:paraId="70A134C4" w14:textId="41006E41" w:rsidR="003A1034" w:rsidRDefault="00F93D0E">
      <w:pPr>
        <w:spacing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L’analyse utilise des données de panel couvrant la période de 1995 à 2020. Le choix de cette période est lié à la disponibilité des données sur les variables institutionnelles et du capital humain. </w:t>
      </w:r>
      <w:r>
        <w:rPr>
          <w:rFonts w:ascii="Times New Roman" w:hAnsi="Times New Roman" w:cs="Times New Roman"/>
          <w:sz w:val="24"/>
          <w:szCs w:val="24"/>
        </w:rPr>
        <w:t>L’échantillon contient six (06) pays membres de l’UEMOA : Burkina Faso, Côte d’Ivoire, Mali, Niger, Sénégal et Togo</w:t>
      </w:r>
      <w:r>
        <w:rPr>
          <w:rStyle w:val="Appelnotedebasdep"/>
          <w:rFonts w:ascii="Times New Roman" w:hAnsi="Times New Roman" w:cs="Times New Roman"/>
          <w:sz w:val="24"/>
          <w:szCs w:val="24"/>
        </w:rPr>
        <w:footnoteReference w:id="1"/>
      </w:r>
      <w:r>
        <w:rPr>
          <w:rFonts w:ascii="Times New Roman" w:hAnsi="Times New Roman" w:cs="Times New Roman"/>
          <w:sz w:val="24"/>
          <w:szCs w:val="24"/>
        </w:rPr>
        <w:t xml:space="preserve">. </w:t>
      </w:r>
    </w:p>
    <w:p w14:paraId="737244AD" w14:textId="36E6AEC9" w:rsidR="003A1034" w:rsidRDefault="00F93D0E">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est issu des trois (03) bases de données qui sont</w:t>
      </w:r>
      <w:r w:rsidR="00236E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i) la base de données de la Banque Mondiale (WDI), ii) la base de Pen World Table et iii) la base</w:t>
      </w:r>
      <w:r>
        <w:rPr>
          <w:rFonts w:ascii="Times New Roman" w:hAnsi="Times New Roman" w:cs="Times New Roman"/>
          <w:color w:val="000000" w:themeColor="text1"/>
          <w:sz w:val="24"/>
          <w:szCs w:val="27"/>
        </w:rPr>
        <w:t xml:space="preserve"> de International Country Risk Guide</w:t>
      </w:r>
      <w:r>
        <w:rPr>
          <w:rFonts w:ascii="Times New Roman" w:hAnsi="Times New Roman" w:cs="Times New Roman"/>
          <w:color w:val="000000" w:themeColor="text1"/>
          <w:sz w:val="24"/>
          <w:szCs w:val="24"/>
        </w:rPr>
        <w:t xml:space="preserve"> (ICRG)</w:t>
      </w:r>
      <w:r w:rsidR="0031440B">
        <w:rPr>
          <w:rFonts w:ascii="Times New Roman" w:hAnsi="Times New Roman" w:cs="Times New Roman"/>
          <w:color w:val="000000" w:themeColor="text1"/>
          <w:sz w:val="24"/>
          <w:szCs w:val="24"/>
        </w:rPr>
        <w:t>.</w:t>
      </w:r>
    </w:p>
    <w:p w14:paraId="01C19C42" w14:textId="77777777" w:rsidR="003A1034" w:rsidRDefault="00F93D0E">
      <w:pPr>
        <w:pStyle w:val="NormalWeb"/>
        <w:numPr>
          <w:ilvl w:val="0"/>
          <w:numId w:val="1"/>
        </w:numPr>
        <w:spacing w:line="276" w:lineRule="auto"/>
        <w:ind w:left="426" w:hanging="426"/>
        <w:jc w:val="both"/>
        <w:rPr>
          <w:b/>
          <w:color w:val="000000" w:themeColor="text1"/>
        </w:rPr>
      </w:pPr>
      <w:r>
        <w:rPr>
          <w:b/>
          <w:color w:val="000000" w:themeColor="text1"/>
        </w:rPr>
        <w:t>Présentations et discussions des résultats</w:t>
      </w:r>
    </w:p>
    <w:p w14:paraId="7B9449BE" w14:textId="77777777" w:rsidR="003A1034" w:rsidRDefault="00F93D0E">
      <w:pPr>
        <w:spacing w:line="240" w:lineRule="auto"/>
        <w:rPr>
          <w:rFonts w:ascii="Times New Roman" w:hAnsi="Times New Roman" w:cs="Times New Roman"/>
          <w:sz w:val="24"/>
        </w:rPr>
      </w:pPr>
      <w:r>
        <w:rPr>
          <w:rFonts w:ascii="Times New Roman" w:hAnsi="Times New Roman" w:cs="Times New Roman"/>
          <w:sz w:val="24"/>
        </w:rPr>
        <w:t>Cette partie présente les procédures d’estimation, l’interprétation et la discussion des résultats.</w:t>
      </w:r>
    </w:p>
    <w:p w14:paraId="02DDFFF5" w14:textId="77777777" w:rsidR="003A1034" w:rsidRDefault="00F93D0E">
      <w:pPr>
        <w:pStyle w:val="Titre3"/>
        <w:numPr>
          <w:ilvl w:val="1"/>
          <w:numId w:val="10"/>
        </w:numPr>
        <w:jc w:val="left"/>
        <w:rPr>
          <w:i w:val="0"/>
          <w:color w:val="000000" w:themeColor="text1"/>
        </w:rPr>
      </w:pPr>
      <w:r>
        <w:rPr>
          <w:i w:val="0"/>
          <w:color w:val="000000" w:themeColor="text1"/>
        </w:rPr>
        <w:t>Test de stationnarité</w:t>
      </w:r>
    </w:p>
    <w:p w14:paraId="19B0FCD9" w14:textId="7D68BBF0" w:rsidR="003A1034" w:rsidRDefault="00F93D0E">
      <w:pPr>
        <w:spacing w:line="240" w:lineRule="auto"/>
        <w:jc w:val="both"/>
        <w:rPr>
          <w:rFonts w:ascii="Times New Roman" w:hAnsi="Times New Roman" w:cs="Times New Roman"/>
          <w:color w:val="000000" w:themeColor="text1"/>
          <w:sz w:val="24"/>
        </w:rPr>
      </w:pPr>
      <w:r>
        <w:rPr>
          <w:rFonts w:ascii="Times New Roman" w:hAnsi="Times New Roman" w:cs="Times New Roman"/>
          <w:sz w:val="24"/>
        </w:rPr>
        <w:t xml:space="preserve">Les estimations sur les données de panels sans la prise en compte du problème de stationnarité peuvent conduire à des résultats biaisés. Les résultats du test de LLC consignés dans le tableau suivant sont basés sur l’hypothèse nulle de la présence de racine unitaire. Ces résultats sont confirmés par le test de </w:t>
      </w:r>
      <w:proofErr w:type="spellStart"/>
      <w:r>
        <w:rPr>
          <w:rFonts w:ascii="Times New Roman" w:hAnsi="Times New Roman" w:cs="Times New Roman"/>
          <w:sz w:val="24"/>
        </w:rPr>
        <w:t>Maddala</w:t>
      </w:r>
      <w:proofErr w:type="spellEnd"/>
      <w:r>
        <w:rPr>
          <w:rFonts w:ascii="Times New Roman" w:hAnsi="Times New Roman" w:cs="Times New Roman"/>
          <w:sz w:val="24"/>
        </w:rPr>
        <w:t xml:space="preserve"> et Wu</w:t>
      </w:r>
      <w:r>
        <w:rPr>
          <w:rFonts w:ascii="Times New Roman" w:hAnsi="Times New Roman" w:cs="Times New Roman"/>
          <w:color w:val="000000" w:themeColor="text1"/>
          <w:sz w:val="24"/>
        </w:rPr>
        <w:t>.</w:t>
      </w:r>
    </w:p>
    <w:p w14:paraId="35E0D612" w14:textId="77777777" w:rsidR="003A1034" w:rsidRDefault="00F93D0E">
      <w:pPr>
        <w:pStyle w:val="Lgende"/>
        <w:spacing w:line="276" w:lineRule="auto"/>
        <w:rPr>
          <w:rFonts w:ascii="Times New Roman" w:hAnsi="Times New Roman" w:cs="Times New Roman"/>
          <w:i/>
          <w:color w:val="000000" w:themeColor="text1"/>
          <w:sz w:val="24"/>
        </w:rPr>
      </w:pPr>
      <w:bookmarkStart w:id="4" w:name="_Toc500706333"/>
      <w:r>
        <w:rPr>
          <w:rFonts w:ascii="Times New Roman" w:hAnsi="Times New Roman" w:cs="Times New Roman"/>
          <w:color w:val="000000" w:themeColor="text1"/>
          <w:sz w:val="24"/>
          <w:u w:val="single"/>
        </w:rPr>
        <w:t>Tableau 2</w:t>
      </w:r>
      <w:r>
        <w:rPr>
          <w:rFonts w:ascii="Times New Roman" w:hAnsi="Times New Roman" w:cs="Times New Roman"/>
          <w:color w:val="000000" w:themeColor="text1"/>
          <w:sz w:val="24"/>
        </w:rPr>
        <w:t> : test de stationnarité</w:t>
      </w:r>
      <w:bookmarkEnd w:id="4"/>
    </w:p>
    <w:tbl>
      <w:tblPr>
        <w:tblStyle w:val="Trameclaire-Accent1"/>
        <w:tblW w:w="5096" w:type="pct"/>
        <w:tblInd w:w="-34" w:type="dxa"/>
        <w:tblLayout w:type="fixed"/>
        <w:tblLook w:val="04A0" w:firstRow="1" w:lastRow="0" w:firstColumn="1" w:lastColumn="0" w:noHBand="0" w:noVBand="1"/>
      </w:tblPr>
      <w:tblGrid>
        <w:gridCol w:w="1369"/>
        <w:gridCol w:w="1728"/>
        <w:gridCol w:w="1331"/>
        <w:gridCol w:w="1381"/>
        <w:gridCol w:w="1662"/>
        <w:gridCol w:w="1246"/>
        <w:gridCol w:w="529"/>
      </w:tblGrid>
      <w:tr w:rsidR="003A1034" w14:paraId="07DA2F15" w14:textId="77777777" w:rsidTr="003A1034">
        <w:trPr>
          <w:gridAfter w:val="1"/>
          <w:cnfStyle w:val="100000000000" w:firstRow="1" w:lastRow="0" w:firstColumn="0" w:lastColumn="0" w:oddVBand="0" w:evenVBand="0" w:oddHBand="0" w:evenHBand="0" w:firstRowFirstColumn="0" w:firstRowLastColumn="0" w:lastRowFirstColumn="0" w:lastRowLastColumn="0"/>
          <w:wAfter w:w="286" w:type="pct"/>
        </w:trPr>
        <w:tc>
          <w:tcPr>
            <w:cnfStyle w:val="001000000000" w:firstRow="0" w:lastRow="0" w:firstColumn="1" w:lastColumn="0" w:oddVBand="0" w:evenVBand="0" w:oddHBand="0" w:evenHBand="0" w:firstRowFirstColumn="0" w:firstRowLastColumn="0" w:lastRowFirstColumn="0" w:lastRowLastColumn="0"/>
            <w:tcW w:w="740" w:type="pct"/>
            <w:noWrap/>
          </w:tcPr>
          <w:p w14:paraId="0D8134BA" w14:textId="77777777" w:rsidR="003A1034" w:rsidRDefault="00F93D0E">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Variables</w:t>
            </w:r>
          </w:p>
        </w:tc>
        <w:tc>
          <w:tcPr>
            <w:tcW w:w="934" w:type="pct"/>
          </w:tcPr>
          <w:p w14:paraId="30D08249" w14:textId="77777777" w:rsidR="003A1034" w:rsidRDefault="00F93D0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Test LLC</w:t>
            </w:r>
          </w:p>
        </w:tc>
        <w:tc>
          <w:tcPr>
            <w:tcW w:w="720" w:type="pct"/>
          </w:tcPr>
          <w:p w14:paraId="4A2305A2" w14:textId="77777777" w:rsidR="003A1034" w:rsidRDefault="00F93D0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Décision</w:t>
            </w:r>
          </w:p>
        </w:tc>
        <w:tc>
          <w:tcPr>
            <w:tcW w:w="747" w:type="pct"/>
          </w:tcPr>
          <w:p w14:paraId="3C9BECE5" w14:textId="77777777" w:rsidR="003A1034" w:rsidRDefault="00F93D0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Variables</w:t>
            </w:r>
          </w:p>
        </w:tc>
        <w:tc>
          <w:tcPr>
            <w:tcW w:w="899" w:type="pct"/>
          </w:tcPr>
          <w:p w14:paraId="44DBED40" w14:textId="77777777" w:rsidR="003A1034" w:rsidRDefault="00F93D0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Test LLC</w:t>
            </w:r>
          </w:p>
        </w:tc>
        <w:tc>
          <w:tcPr>
            <w:tcW w:w="674" w:type="pct"/>
          </w:tcPr>
          <w:p w14:paraId="442984D8" w14:textId="77777777" w:rsidR="003A1034" w:rsidRDefault="00F93D0E">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Décision</w:t>
            </w:r>
          </w:p>
        </w:tc>
      </w:tr>
      <w:tr w:rsidR="003A1034" w14:paraId="7A462F30" w14:textId="77777777" w:rsidTr="003A1034">
        <w:trPr>
          <w:gridAfter w:val="1"/>
          <w:wAfter w:w="286" w:type="pct"/>
        </w:trPr>
        <w:tc>
          <w:tcPr>
            <w:cnfStyle w:val="001000000000" w:firstRow="0" w:lastRow="0" w:firstColumn="1" w:lastColumn="0" w:oddVBand="0" w:evenVBand="0" w:oddHBand="0" w:evenHBand="0" w:firstRowFirstColumn="0" w:firstRowLastColumn="0" w:lastRowFirstColumn="0" w:lastRowLastColumn="0"/>
            <w:tcW w:w="740" w:type="pct"/>
            <w:noWrap/>
          </w:tcPr>
          <w:p w14:paraId="584CFF96" w14:textId="77777777" w:rsidR="003A1034" w:rsidRDefault="00F93D0E">
            <w:pPr>
              <w:spacing w:after="0"/>
              <w:rPr>
                <w:rFonts w:ascii="Times New Roman" w:hAnsi="Times New Roman" w:cs="Times New Roman"/>
                <w:b w:val="0"/>
                <w:bCs w:val="0"/>
                <w:color w:val="000000" w:themeColor="text1"/>
                <w:sz w:val="28"/>
                <w:szCs w:val="28"/>
              </w:rPr>
            </w:pPr>
            <w:r>
              <w:rPr>
                <w:rFonts w:ascii="Times New Roman" w:hAnsi="Times New Roman" w:cs="Times New Roman"/>
                <w:color w:val="000000" w:themeColor="text1"/>
                <w:sz w:val="28"/>
                <w:szCs w:val="28"/>
              </w:rPr>
              <w:t>g</w:t>
            </w:r>
          </w:p>
        </w:tc>
        <w:tc>
          <w:tcPr>
            <w:tcW w:w="934" w:type="pct"/>
          </w:tcPr>
          <w:p w14:paraId="1CF5F7DC" w14:textId="733AEE8E" w:rsidR="003A1034" w:rsidRDefault="00F93D0E">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A587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05592***</w:t>
            </w:r>
          </w:p>
        </w:tc>
        <w:tc>
          <w:tcPr>
            <w:tcW w:w="720" w:type="pct"/>
          </w:tcPr>
          <w:p w14:paraId="233268A6" w14:textId="77777777" w:rsidR="003A1034" w:rsidRDefault="00F93D0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I(</w:t>
            </w:r>
            <w:proofErr w:type="gramEnd"/>
            <w:r>
              <w:rPr>
                <w:rFonts w:ascii="Times New Roman" w:hAnsi="Times New Roman" w:cs="Times New Roman"/>
                <w:color w:val="000000" w:themeColor="text1"/>
                <w:sz w:val="28"/>
                <w:szCs w:val="28"/>
              </w:rPr>
              <w:t>0)</w:t>
            </w:r>
          </w:p>
        </w:tc>
        <w:tc>
          <w:tcPr>
            <w:tcW w:w="747" w:type="pct"/>
          </w:tcPr>
          <w:p w14:paraId="5FE564D8" w14:textId="77777777" w:rsidR="003A1034" w:rsidRDefault="00F93D0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trade</w:t>
            </w:r>
            <w:proofErr w:type="spellEnd"/>
          </w:p>
        </w:tc>
        <w:tc>
          <w:tcPr>
            <w:tcW w:w="899" w:type="pct"/>
          </w:tcPr>
          <w:p w14:paraId="7E5AA9AD" w14:textId="2B2764B0" w:rsidR="003A1034" w:rsidRDefault="00F93D0E">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-0,0113</w:t>
            </w:r>
            <w:r w:rsidR="00C850CE">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w:t>
            </w:r>
          </w:p>
        </w:tc>
        <w:tc>
          <w:tcPr>
            <w:tcW w:w="674" w:type="pct"/>
          </w:tcPr>
          <w:p w14:paraId="772C51AC" w14:textId="77777777" w:rsidR="003A1034" w:rsidRDefault="00F93D0E">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I(</w:t>
            </w:r>
            <w:proofErr w:type="gramEnd"/>
            <w:r>
              <w:rPr>
                <w:rFonts w:ascii="Times New Roman" w:hAnsi="Times New Roman" w:cs="Times New Roman"/>
                <w:color w:val="000000" w:themeColor="text1"/>
                <w:sz w:val="28"/>
                <w:szCs w:val="28"/>
              </w:rPr>
              <w:t>1)</w:t>
            </w:r>
          </w:p>
        </w:tc>
      </w:tr>
      <w:tr w:rsidR="003A1034" w14:paraId="46150DE3" w14:textId="77777777" w:rsidTr="003A1034">
        <w:trPr>
          <w:gridAfter w:val="1"/>
          <w:wAfter w:w="286" w:type="pct"/>
        </w:trPr>
        <w:tc>
          <w:tcPr>
            <w:cnfStyle w:val="001000000000" w:firstRow="0" w:lastRow="0" w:firstColumn="1" w:lastColumn="0" w:oddVBand="0" w:evenVBand="0" w:oddHBand="0" w:evenHBand="0" w:firstRowFirstColumn="0" w:firstRowLastColumn="0" w:lastRowFirstColumn="0" w:lastRowLastColumn="0"/>
            <w:tcW w:w="740" w:type="pct"/>
            <w:noWrap/>
          </w:tcPr>
          <w:p w14:paraId="718D4071" w14:textId="77777777" w:rsidR="003A1034" w:rsidRDefault="00F93D0E">
            <w:pPr>
              <w:spacing w:after="0"/>
              <w:rPr>
                <w:rFonts w:ascii="Times New Roman" w:hAnsi="Times New Roman" w:cs="Times New Roman"/>
                <w:b w:val="0"/>
                <w:bCs w:val="0"/>
                <w:color w:val="000000" w:themeColor="text1"/>
                <w:sz w:val="28"/>
                <w:szCs w:val="28"/>
              </w:rPr>
            </w:pPr>
            <w:proofErr w:type="spellStart"/>
            <w:r>
              <w:rPr>
                <w:rFonts w:ascii="Times New Roman" w:hAnsi="Times New Roman" w:cs="Times New Roman"/>
                <w:color w:val="000000" w:themeColor="text1"/>
                <w:sz w:val="28"/>
                <w:szCs w:val="28"/>
              </w:rPr>
              <w:t>credpriv</w:t>
            </w:r>
            <w:proofErr w:type="spellEnd"/>
          </w:p>
        </w:tc>
        <w:tc>
          <w:tcPr>
            <w:tcW w:w="934" w:type="pct"/>
          </w:tcPr>
          <w:p w14:paraId="52EE2091" w14:textId="167D8A3D" w:rsidR="003A1034" w:rsidRDefault="00F93D0E">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r w:rsidR="000A587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14060***</w:t>
            </w:r>
          </w:p>
        </w:tc>
        <w:tc>
          <w:tcPr>
            <w:tcW w:w="720" w:type="pct"/>
          </w:tcPr>
          <w:p w14:paraId="14643BB6" w14:textId="77777777" w:rsidR="003A1034" w:rsidRDefault="00F93D0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I(</w:t>
            </w:r>
            <w:proofErr w:type="gramEnd"/>
            <w:r>
              <w:rPr>
                <w:rFonts w:ascii="Times New Roman" w:hAnsi="Times New Roman" w:cs="Times New Roman"/>
                <w:color w:val="000000" w:themeColor="text1"/>
                <w:sz w:val="28"/>
                <w:szCs w:val="28"/>
              </w:rPr>
              <w:t>0)</w:t>
            </w:r>
          </w:p>
        </w:tc>
        <w:tc>
          <w:tcPr>
            <w:tcW w:w="747" w:type="pct"/>
          </w:tcPr>
          <w:p w14:paraId="64537135" w14:textId="77777777" w:rsidR="003A1034" w:rsidRDefault="00F93D0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dp</w:t>
            </w:r>
            <w:proofErr w:type="spellEnd"/>
          </w:p>
        </w:tc>
        <w:tc>
          <w:tcPr>
            <w:tcW w:w="899" w:type="pct"/>
          </w:tcPr>
          <w:p w14:paraId="702AF204" w14:textId="77777777" w:rsidR="003A1034" w:rsidRDefault="00F93D0E">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-0,01368*</w:t>
            </w:r>
          </w:p>
        </w:tc>
        <w:tc>
          <w:tcPr>
            <w:tcW w:w="674" w:type="pct"/>
          </w:tcPr>
          <w:p w14:paraId="3A9375A5" w14:textId="77777777" w:rsidR="003A1034" w:rsidRDefault="00F93D0E">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I(</w:t>
            </w:r>
            <w:proofErr w:type="gramEnd"/>
            <w:r>
              <w:rPr>
                <w:rFonts w:ascii="Times New Roman" w:hAnsi="Times New Roman" w:cs="Times New Roman"/>
                <w:color w:val="000000" w:themeColor="text1"/>
                <w:sz w:val="28"/>
                <w:szCs w:val="28"/>
              </w:rPr>
              <w:t>1)</w:t>
            </w:r>
          </w:p>
        </w:tc>
      </w:tr>
      <w:tr w:rsidR="003A1034" w14:paraId="7BB8DEC6" w14:textId="77777777" w:rsidTr="003A1034">
        <w:trPr>
          <w:gridAfter w:val="1"/>
          <w:wAfter w:w="286" w:type="pct"/>
        </w:trPr>
        <w:tc>
          <w:tcPr>
            <w:cnfStyle w:val="001000000000" w:firstRow="0" w:lastRow="0" w:firstColumn="1" w:lastColumn="0" w:oddVBand="0" w:evenVBand="0" w:oddHBand="0" w:evenHBand="0" w:firstRowFirstColumn="0" w:firstRowLastColumn="0" w:lastRowFirstColumn="0" w:lastRowLastColumn="0"/>
            <w:tcW w:w="740" w:type="pct"/>
            <w:noWrap/>
          </w:tcPr>
          <w:p w14:paraId="30C29A3A" w14:textId="77777777" w:rsidR="003A1034" w:rsidRDefault="00F93D0E">
            <w:pPr>
              <w:spacing w:after="0"/>
              <w:rPr>
                <w:rFonts w:ascii="Times New Roman" w:hAnsi="Times New Roman" w:cs="Times New Roman"/>
                <w:b w:val="0"/>
                <w:bCs w:val="0"/>
                <w:color w:val="000000" w:themeColor="text1"/>
                <w:sz w:val="28"/>
                <w:szCs w:val="28"/>
              </w:rPr>
            </w:pPr>
            <w:r>
              <w:rPr>
                <w:rFonts w:ascii="Times New Roman" w:hAnsi="Times New Roman" w:cs="Times New Roman"/>
                <w:color w:val="000000" w:themeColor="text1"/>
                <w:sz w:val="28"/>
                <w:szCs w:val="28"/>
              </w:rPr>
              <w:t>i</w:t>
            </w:r>
          </w:p>
        </w:tc>
        <w:tc>
          <w:tcPr>
            <w:tcW w:w="934" w:type="pct"/>
          </w:tcPr>
          <w:p w14:paraId="34A377F7" w14:textId="7EF5C26D" w:rsidR="003A1034" w:rsidRDefault="00F93D0E">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0A587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02733***</w:t>
            </w:r>
          </w:p>
        </w:tc>
        <w:tc>
          <w:tcPr>
            <w:tcW w:w="720" w:type="pct"/>
          </w:tcPr>
          <w:p w14:paraId="7E3E10D9" w14:textId="77777777" w:rsidR="003A1034" w:rsidRDefault="00F93D0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I(</w:t>
            </w:r>
            <w:proofErr w:type="gramEnd"/>
            <w:r>
              <w:rPr>
                <w:rFonts w:ascii="Times New Roman" w:hAnsi="Times New Roman" w:cs="Times New Roman"/>
                <w:color w:val="000000" w:themeColor="text1"/>
                <w:sz w:val="28"/>
                <w:szCs w:val="28"/>
              </w:rPr>
              <w:t>0)</w:t>
            </w:r>
          </w:p>
        </w:tc>
        <w:tc>
          <w:tcPr>
            <w:tcW w:w="747" w:type="pct"/>
          </w:tcPr>
          <w:p w14:paraId="2E195808" w14:textId="77777777" w:rsidR="003A1034" w:rsidRDefault="00F93D0E">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ch</w:t>
            </w:r>
            <w:proofErr w:type="spellEnd"/>
          </w:p>
        </w:tc>
        <w:tc>
          <w:tcPr>
            <w:tcW w:w="899" w:type="pct"/>
          </w:tcPr>
          <w:p w14:paraId="1D5306D9" w14:textId="77777777" w:rsidR="003A1034" w:rsidRDefault="00F93D0E">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-0,00111*</w:t>
            </w:r>
          </w:p>
        </w:tc>
        <w:tc>
          <w:tcPr>
            <w:tcW w:w="674" w:type="pct"/>
          </w:tcPr>
          <w:p w14:paraId="153A6171" w14:textId="77777777" w:rsidR="003A1034" w:rsidRDefault="00F93D0E">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I(</w:t>
            </w:r>
            <w:proofErr w:type="gramEnd"/>
            <w:r>
              <w:rPr>
                <w:rFonts w:ascii="Times New Roman" w:hAnsi="Times New Roman" w:cs="Times New Roman"/>
                <w:color w:val="000000" w:themeColor="text1"/>
                <w:sz w:val="28"/>
                <w:szCs w:val="28"/>
              </w:rPr>
              <w:t>1)</w:t>
            </w:r>
          </w:p>
        </w:tc>
      </w:tr>
      <w:tr w:rsidR="003A1034" w14:paraId="0799429F" w14:textId="77777777" w:rsidTr="003A1034">
        <w:trPr>
          <w:gridAfter w:val="1"/>
          <w:wAfter w:w="286" w:type="pct"/>
        </w:trPr>
        <w:tc>
          <w:tcPr>
            <w:cnfStyle w:val="001000000000" w:firstRow="0" w:lastRow="0" w:firstColumn="1" w:lastColumn="0" w:oddVBand="0" w:evenVBand="0" w:oddHBand="0" w:evenHBand="0" w:firstRowFirstColumn="0" w:firstRowLastColumn="0" w:lastRowFirstColumn="0" w:lastRowLastColumn="0"/>
            <w:tcW w:w="740" w:type="pct"/>
            <w:noWrap/>
          </w:tcPr>
          <w:p w14:paraId="7E475101" w14:textId="77777777" w:rsidR="003A1034" w:rsidRDefault="00F93D0E">
            <w:pPr>
              <w:spacing w:after="0"/>
              <w:rPr>
                <w:rFonts w:ascii="Times New Roman" w:hAnsi="Times New Roman" w:cs="Times New Roman"/>
                <w:b w:val="0"/>
                <w:bCs w:val="0"/>
                <w:color w:val="000000" w:themeColor="text1"/>
                <w:sz w:val="28"/>
                <w:szCs w:val="28"/>
              </w:rPr>
            </w:pPr>
            <w:proofErr w:type="spellStart"/>
            <w:r>
              <w:rPr>
                <w:rFonts w:ascii="Times New Roman" w:hAnsi="Times New Roman" w:cs="Times New Roman"/>
                <w:color w:val="000000" w:themeColor="text1"/>
                <w:sz w:val="28"/>
                <w:szCs w:val="28"/>
              </w:rPr>
              <w:t>ordrloi</w:t>
            </w:r>
            <w:proofErr w:type="spellEnd"/>
          </w:p>
        </w:tc>
        <w:tc>
          <w:tcPr>
            <w:tcW w:w="934" w:type="pct"/>
          </w:tcPr>
          <w:p w14:paraId="10FB95F7" w14:textId="29ACBF29" w:rsidR="003A1034" w:rsidRDefault="00F93D0E">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r w:rsidR="000A587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07619***</w:t>
            </w:r>
          </w:p>
        </w:tc>
        <w:tc>
          <w:tcPr>
            <w:tcW w:w="720" w:type="pct"/>
          </w:tcPr>
          <w:p w14:paraId="1EB4EF49" w14:textId="77777777" w:rsidR="003A1034" w:rsidRDefault="00F93D0E">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I(</w:t>
            </w:r>
            <w:proofErr w:type="gramEnd"/>
            <w:r>
              <w:rPr>
                <w:rFonts w:ascii="Times New Roman" w:hAnsi="Times New Roman" w:cs="Times New Roman"/>
                <w:color w:val="000000" w:themeColor="text1"/>
                <w:sz w:val="28"/>
                <w:szCs w:val="28"/>
              </w:rPr>
              <w:t>0)</w:t>
            </w:r>
          </w:p>
        </w:tc>
        <w:tc>
          <w:tcPr>
            <w:tcW w:w="747" w:type="pct"/>
          </w:tcPr>
          <w:p w14:paraId="1E4C9319" w14:textId="77777777" w:rsidR="003A1034" w:rsidRDefault="003A1034">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
        </w:tc>
        <w:tc>
          <w:tcPr>
            <w:tcW w:w="899" w:type="pct"/>
          </w:tcPr>
          <w:p w14:paraId="7AB3D5CF" w14:textId="77777777" w:rsidR="003A1034" w:rsidRDefault="003A1034">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
        </w:tc>
        <w:tc>
          <w:tcPr>
            <w:tcW w:w="674" w:type="pct"/>
          </w:tcPr>
          <w:p w14:paraId="601E5B16" w14:textId="77777777" w:rsidR="003A1034" w:rsidRDefault="003A1034">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
        </w:tc>
      </w:tr>
      <w:tr w:rsidR="003A1034" w14:paraId="3B9387CE" w14:textId="77777777" w:rsidTr="003A1034">
        <w:trPr>
          <w:gridAfter w:val="1"/>
          <w:wAfter w:w="286" w:type="pct"/>
        </w:trPr>
        <w:tc>
          <w:tcPr>
            <w:cnfStyle w:val="001000000000" w:firstRow="0" w:lastRow="0" w:firstColumn="1" w:lastColumn="0" w:oddVBand="0" w:evenVBand="0" w:oddHBand="0" w:evenHBand="0" w:firstRowFirstColumn="0" w:firstRowLastColumn="0" w:lastRowFirstColumn="0" w:lastRowLastColumn="0"/>
            <w:tcW w:w="740" w:type="pct"/>
            <w:shd w:val="clear" w:color="auto" w:fill="auto"/>
            <w:noWrap/>
          </w:tcPr>
          <w:p w14:paraId="1D9D8942" w14:textId="77777777" w:rsidR="003A1034" w:rsidRDefault="00F93D0E">
            <w:pPr>
              <w:spacing w:after="0"/>
              <w:rPr>
                <w:rFonts w:ascii="Times New Roman" w:hAnsi="Times New Roman" w:cs="Times New Roman"/>
                <w:b w:val="0"/>
                <w:bCs w:val="0"/>
                <w:color w:val="000000" w:themeColor="text1"/>
                <w:sz w:val="28"/>
                <w:szCs w:val="28"/>
              </w:rPr>
            </w:pPr>
            <w:proofErr w:type="spellStart"/>
            <w:r>
              <w:rPr>
                <w:rFonts w:ascii="Times New Roman" w:hAnsi="Times New Roman" w:cs="Times New Roman"/>
                <w:color w:val="000000" w:themeColor="text1"/>
                <w:sz w:val="28"/>
                <w:szCs w:val="28"/>
              </w:rPr>
              <w:t>aidepib</w:t>
            </w:r>
            <w:proofErr w:type="spellEnd"/>
          </w:p>
        </w:tc>
        <w:tc>
          <w:tcPr>
            <w:tcW w:w="934" w:type="pct"/>
            <w:shd w:val="clear" w:color="auto" w:fill="auto"/>
          </w:tcPr>
          <w:p w14:paraId="3FA764FF" w14:textId="010A0D48" w:rsidR="003A1034" w:rsidRDefault="00F93D0E">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-0</w:t>
            </w:r>
            <w:r w:rsidR="000A587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26554***</w:t>
            </w:r>
          </w:p>
        </w:tc>
        <w:tc>
          <w:tcPr>
            <w:tcW w:w="720" w:type="pct"/>
            <w:shd w:val="clear" w:color="auto" w:fill="auto"/>
          </w:tcPr>
          <w:p w14:paraId="13DA5113" w14:textId="77777777" w:rsidR="003A1034" w:rsidRDefault="00F93D0E">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I(</w:t>
            </w:r>
            <w:proofErr w:type="gramEnd"/>
            <w:r>
              <w:rPr>
                <w:rFonts w:ascii="Times New Roman" w:hAnsi="Times New Roman" w:cs="Times New Roman"/>
                <w:color w:val="000000" w:themeColor="text1"/>
                <w:sz w:val="28"/>
                <w:szCs w:val="28"/>
              </w:rPr>
              <w:t>0)</w:t>
            </w:r>
          </w:p>
        </w:tc>
        <w:tc>
          <w:tcPr>
            <w:tcW w:w="747" w:type="pct"/>
          </w:tcPr>
          <w:p w14:paraId="3964EF7D" w14:textId="77777777" w:rsidR="003A1034" w:rsidRDefault="003A1034">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highlight w:val="yellow"/>
              </w:rPr>
            </w:pPr>
          </w:p>
        </w:tc>
        <w:tc>
          <w:tcPr>
            <w:tcW w:w="899" w:type="pct"/>
          </w:tcPr>
          <w:p w14:paraId="704460FA" w14:textId="77777777" w:rsidR="003A1034" w:rsidRDefault="003A1034">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highlight w:val="yellow"/>
              </w:rPr>
            </w:pPr>
          </w:p>
        </w:tc>
        <w:tc>
          <w:tcPr>
            <w:tcW w:w="674" w:type="pct"/>
          </w:tcPr>
          <w:p w14:paraId="0A495D78" w14:textId="77777777" w:rsidR="003A1034" w:rsidRDefault="003A1034">
            <w:pPr>
              <w:pStyle w:val="DecimalAligned"/>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8"/>
                <w:szCs w:val="28"/>
              </w:rPr>
            </w:pPr>
          </w:p>
        </w:tc>
      </w:tr>
      <w:tr w:rsidR="003A1034" w14:paraId="6173FA0B" w14:textId="77777777" w:rsidTr="003A1034">
        <w:tc>
          <w:tcPr>
            <w:cnfStyle w:val="001000000000" w:firstRow="0" w:lastRow="0" w:firstColumn="1" w:lastColumn="0" w:oddVBand="0" w:evenVBand="0" w:oddHBand="0" w:evenHBand="0" w:firstRowFirstColumn="0" w:firstRowLastColumn="0" w:lastRowFirstColumn="0" w:lastRowLastColumn="0"/>
            <w:tcW w:w="5000" w:type="pct"/>
            <w:gridSpan w:val="7"/>
            <w:tcBorders>
              <w:top w:val="nil"/>
              <w:left w:val="nil"/>
              <w:bottom w:val="nil"/>
              <w:right w:val="nil"/>
            </w:tcBorders>
          </w:tcPr>
          <w:p w14:paraId="25CDC10E" w14:textId="77777777" w:rsidR="003A1034" w:rsidRDefault="00F93D0E">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Source : construit par l’auteur à partir de Stata/SE 11.0</w:t>
            </w:r>
          </w:p>
        </w:tc>
      </w:tr>
    </w:tbl>
    <w:p w14:paraId="394C6E89" w14:textId="77777777" w:rsidR="003A1034" w:rsidRDefault="00F93D0E">
      <w:pPr>
        <w:tabs>
          <w:tab w:val="left" w:pos="1515"/>
        </w:tabs>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w:t>
      </w:r>
      <w:proofErr w:type="gramEnd"/>
      <w:r>
        <w:rPr>
          <w:rFonts w:ascii="Times New Roman" w:hAnsi="Times New Roman" w:cs="Times New Roman"/>
          <w:sz w:val="24"/>
        </w:rPr>
        <w:t xml:space="preserve"> indiquent respectivement une stationnarité à 1% et 10%</w:t>
      </w:r>
    </w:p>
    <w:p w14:paraId="7F280270" w14:textId="5F070A80" w:rsidR="003A1034" w:rsidRPr="001B088B" w:rsidRDefault="00F93D0E" w:rsidP="001B088B">
      <w:pPr>
        <w:tabs>
          <w:tab w:val="left" w:pos="1395"/>
        </w:tabs>
        <w:spacing w:line="240" w:lineRule="auto"/>
        <w:jc w:val="both"/>
        <w:rPr>
          <w:rFonts w:ascii="Times New Roman" w:hAnsi="Times New Roman" w:cs="Times New Roman"/>
          <w:sz w:val="24"/>
        </w:rPr>
      </w:pPr>
      <w:r>
        <w:rPr>
          <w:rFonts w:ascii="Times New Roman" w:hAnsi="Times New Roman" w:cs="Times New Roman"/>
          <w:sz w:val="24"/>
        </w:rPr>
        <w:t xml:space="preserve">A travers le tableau 3 ci-dessus, il ressort que les variables (g, </w:t>
      </w:r>
      <w:proofErr w:type="spellStart"/>
      <w:r>
        <w:rPr>
          <w:rFonts w:ascii="Times New Roman" w:hAnsi="Times New Roman" w:cs="Times New Roman"/>
          <w:sz w:val="24"/>
        </w:rPr>
        <w:t>odreloi</w:t>
      </w:r>
      <w:proofErr w:type="spellEnd"/>
      <w:r>
        <w:rPr>
          <w:rFonts w:ascii="Times New Roman" w:hAnsi="Times New Roman" w:cs="Times New Roman"/>
          <w:sz w:val="24"/>
        </w:rPr>
        <w:t xml:space="preserve">, i, </w:t>
      </w:r>
      <w:proofErr w:type="spellStart"/>
      <w:r>
        <w:rPr>
          <w:rFonts w:ascii="Times New Roman" w:hAnsi="Times New Roman" w:cs="Times New Roman"/>
          <w:sz w:val="24"/>
        </w:rPr>
        <w:t>credpriv</w:t>
      </w:r>
      <w:proofErr w:type="spellEnd"/>
      <w:r>
        <w:rPr>
          <w:rFonts w:ascii="Times New Roman" w:hAnsi="Times New Roman" w:cs="Times New Roman"/>
          <w:sz w:val="24"/>
        </w:rPr>
        <w:t xml:space="preserve">, </w:t>
      </w:r>
      <w:proofErr w:type="spellStart"/>
      <w:r>
        <w:rPr>
          <w:rFonts w:ascii="Times New Roman" w:hAnsi="Times New Roman" w:cs="Times New Roman"/>
          <w:sz w:val="24"/>
        </w:rPr>
        <w:t>aidepib</w:t>
      </w:r>
      <w:proofErr w:type="spellEnd"/>
      <w:r>
        <w:rPr>
          <w:rFonts w:ascii="Times New Roman" w:hAnsi="Times New Roman" w:cs="Times New Roman"/>
          <w:sz w:val="24"/>
        </w:rPr>
        <w:t>) sont stationnaires à niveau. Par contre les variables (</w:t>
      </w:r>
      <w:proofErr w:type="spellStart"/>
      <w:r>
        <w:rPr>
          <w:rFonts w:ascii="Times New Roman" w:hAnsi="Times New Roman" w:cs="Times New Roman"/>
          <w:sz w:val="24"/>
        </w:rPr>
        <w:t>ch</w:t>
      </w:r>
      <w:proofErr w:type="spellEnd"/>
      <w:r>
        <w:rPr>
          <w:rFonts w:ascii="Times New Roman" w:hAnsi="Times New Roman" w:cs="Times New Roman"/>
          <w:sz w:val="24"/>
        </w:rPr>
        <w:t xml:space="preserve">, </w:t>
      </w:r>
      <w:proofErr w:type="spellStart"/>
      <w:r>
        <w:rPr>
          <w:rFonts w:ascii="Times New Roman" w:hAnsi="Times New Roman" w:cs="Times New Roman"/>
          <w:sz w:val="24"/>
        </w:rPr>
        <w:t>dp</w:t>
      </w:r>
      <w:proofErr w:type="spellEnd"/>
      <w:r>
        <w:rPr>
          <w:rFonts w:ascii="Times New Roman" w:hAnsi="Times New Roman" w:cs="Times New Roman"/>
          <w:sz w:val="24"/>
        </w:rPr>
        <w:t xml:space="preserve">, </w:t>
      </w:r>
      <w:proofErr w:type="spellStart"/>
      <w:r>
        <w:rPr>
          <w:rFonts w:ascii="Times New Roman" w:hAnsi="Times New Roman" w:cs="Times New Roman"/>
          <w:sz w:val="24"/>
        </w:rPr>
        <w:t>trade</w:t>
      </w:r>
      <w:proofErr w:type="spellEnd"/>
      <w:r>
        <w:rPr>
          <w:rFonts w:ascii="Times New Roman" w:hAnsi="Times New Roman" w:cs="Times New Roman"/>
          <w:sz w:val="24"/>
        </w:rPr>
        <w:t>) sont stationnaires à différence première. Ces dernières sont intégrées d’ordre</w:t>
      </w:r>
      <w:r w:rsidR="001B088B">
        <w:rPr>
          <w:rFonts w:ascii="Times New Roman" w:hAnsi="Times New Roman" w:cs="Times New Roman"/>
          <w:sz w:val="24"/>
        </w:rPr>
        <w:t xml:space="preserve"> 1. </w:t>
      </w:r>
      <w:r>
        <w:rPr>
          <w:rFonts w:ascii="Times New Roman" w:hAnsi="Times New Roman" w:cs="Times New Roman"/>
          <w:color w:val="000000" w:themeColor="text1"/>
          <w:sz w:val="24"/>
          <w:szCs w:val="24"/>
        </w:rPr>
        <w:t xml:space="preserve">Les différents tests sur données de panels </w:t>
      </w:r>
      <w:r>
        <w:rPr>
          <w:rFonts w:ascii="Times New Roman" w:hAnsi="Times New Roman" w:cs="Times New Roman"/>
          <w:color w:val="000000" w:themeColor="text1"/>
          <w:sz w:val="24"/>
          <w:szCs w:val="24"/>
        </w:rPr>
        <w:lastRenderedPageBreak/>
        <w:t xml:space="preserve">réalisés autorisent l’estimation des données par la méthode des GMM. Toutefois, on cherche à savoir sous quelles formes ces données supportent une structure en panel. Plusieurs variantes de modèle ont été soumises à cet effet au test de structure de panel en suivant le test général d’homogénéité. </w:t>
      </w:r>
      <w:r w:rsidR="00FE2F46">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ans un premier temps l’hypothèse d’une structure parfaitement homogène (identité des coefficients et des constantes), puis l’hypothèse d’homogénéité des coefficients et enfin celle des constantes</w:t>
      </w:r>
      <w:r w:rsidR="00FE2F46">
        <w:rPr>
          <w:rFonts w:ascii="Times New Roman" w:hAnsi="Times New Roman" w:cs="Times New Roman"/>
          <w:color w:val="000000" w:themeColor="text1"/>
          <w:sz w:val="24"/>
          <w:szCs w:val="24"/>
        </w:rPr>
        <w:t xml:space="preserve"> sont testées</w:t>
      </w:r>
      <w:r>
        <w:rPr>
          <w:rFonts w:ascii="Times New Roman" w:hAnsi="Times New Roman" w:cs="Times New Roman"/>
          <w:color w:val="000000" w:themeColor="text1"/>
          <w:sz w:val="24"/>
          <w:szCs w:val="24"/>
        </w:rPr>
        <w:t xml:space="preserve">. Les différentes statistiques (F1, </w:t>
      </w:r>
      <w:r>
        <w:rPr>
          <w:rFonts w:ascii="Times New Roman" w:hAnsi="Times New Roman" w:cs="Times New Roman"/>
          <w:iCs/>
          <w:color w:val="000000" w:themeColor="text1"/>
          <w:sz w:val="24"/>
          <w:szCs w:val="24"/>
        </w:rPr>
        <w:t>F</w:t>
      </w:r>
      <w:r>
        <w:rPr>
          <w:rFonts w:ascii="Times New Roman" w:hAnsi="Times New Roman" w:cs="Times New Roman"/>
          <w:color w:val="000000" w:themeColor="text1"/>
          <w:sz w:val="24"/>
          <w:szCs w:val="24"/>
        </w:rPr>
        <w:t xml:space="preserve">2 et </w:t>
      </w:r>
      <w:r>
        <w:rPr>
          <w:rFonts w:ascii="Times New Roman" w:hAnsi="Times New Roman" w:cs="Times New Roman"/>
          <w:iCs/>
          <w:color w:val="000000" w:themeColor="text1"/>
          <w:sz w:val="24"/>
          <w:szCs w:val="24"/>
        </w:rPr>
        <w:t>F</w:t>
      </w:r>
      <w:r>
        <w:rPr>
          <w:rFonts w:ascii="Times New Roman" w:hAnsi="Times New Roman" w:cs="Times New Roman"/>
          <w:color w:val="000000" w:themeColor="text1"/>
          <w:sz w:val="24"/>
          <w:szCs w:val="24"/>
        </w:rPr>
        <w:t xml:space="preserve">3) associées aux trois tests suivent la loi de Fisher. </w:t>
      </w:r>
    </w:p>
    <w:p w14:paraId="3CF26EBC" w14:textId="5B264D54" w:rsidR="003A1034" w:rsidRPr="00EF0A2C" w:rsidRDefault="00F93D0E">
      <w:pPr>
        <w:spacing w:after="0" w:line="240" w:lineRule="auto"/>
        <w:jc w:val="both"/>
        <w:rPr>
          <w:rFonts w:ascii="Times New Roman" w:hAnsi="Times New Roman" w:cs="Times New Roman"/>
          <w:sz w:val="24"/>
        </w:rPr>
      </w:pPr>
      <w:r w:rsidRPr="00EF0A2C">
        <w:rPr>
          <w:rFonts w:ascii="Times New Roman" w:hAnsi="Times New Roman" w:cs="Times New Roman"/>
          <w:sz w:val="24"/>
        </w:rPr>
        <w:t xml:space="preserve">Le premier test ne permet pas de rejeter au seuil de 5%, l’hypothèse d’une structure parfaitement homogène </w:t>
      </w:r>
      <w:r w:rsidR="00546EDA" w:rsidRPr="00EF0A2C">
        <w:rPr>
          <w:rFonts w:ascii="Times New Roman" w:hAnsi="Times New Roman" w:cs="Times New Roman"/>
          <w:sz w:val="24"/>
        </w:rPr>
        <w:t>avec</w:t>
      </w:r>
      <w:r w:rsidRPr="00EF0A2C">
        <w:rPr>
          <w:rFonts w:ascii="Times New Roman" w:hAnsi="Times New Roman" w:cs="Times New Roman"/>
          <w:sz w:val="24"/>
        </w:rPr>
        <w:t xml:space="preserve"> une statistique F1=13</w:t>
      </w:r>
      <w:r w:rsidR="000A5871" w:rsidRPr="00EF0A2C">
        <w:rPr>
          <w:rFonts w:ascii="Times New Roman" w:hAnsi="Times New Roman" w:cs="Times New Roman"/>
          <w:sz w:val="24"/>
        </w:rPr>
        <w:t>,</w:t>
      </w:r>
      <w:r w:rsidRPr="00EF0A2C">
        <w:rPr>
          <w:rFonts w:ascii="Times New Roman" w:hAnsi="Times New Roman" w:cs="Times New Roman"/>
          <w:sz w:val="24"/>
        </w:rPr>
        <w:t>516622 avec une P-value = 6</w:t>
      </w:r>
      <w:r w:rsidR="000A5871" w:rsidRPr="00EF0A2C">
        <w:rPr>
          <w:rFonts w:ascii="Times New Roman" w:hAnsi="Times New Roman" w:cs="Times New Roman"/>
          <w:sz w:val="24"/>
        </w:rPr>
        <w:t>,</w:t>
      </w:r>
      <w:r w:rsidRPr="00EF0A2C">
        <w:rPr>
          <w:rFonts w:ascii="Times New Roman" w:hAnsi="Times New Roman" w:cs="Times New Roman"/>
          <w:sz w:val="24"/>
        </w:rPr>
        <w:t xml:space="preserve">381%. </w:t>
      </w:r>
      <w:r w:rsidR="001A21B9" w:rsidRPr="00EF0A2C">
        <w:rPr>
          <w:rFonts w:ascii="Times New Roman" w:hAnsi="Times New Roman" w:cs="Times New Roman"/>
          <w:sz w:val="24"/>
        </w:rPr>
        <w:t>Le</w:t>
      </w:r>
      <w:r w:rsidRPr="00EF0A2C">
        <w:rPr>
          <w:rFonts w:ascii="Times New Roman" w:hAnsi="Times New Roman" w:cs="Times New Roman"/>
          <w:sz w:val="24"/>
        </w:rPr>
        <w:t xml:space="preserve"> modèle dynamique</w:t>
      </w:r>
      <w:r w:rsidR="001A21B9" w:rsidRPr="00EF0A2C">
        <w:rPr>
          <w:rFonts w:ascii="Times New Roman" w:hAnsi="Times New Roman" w:cs="Times New Roman"/>
          <w:sz w:val="24"/>
        </w:rPr>
        <w:t xml:space="preserve"> exige le</w:t>
      </w:r>
      <w:r w:rsidRPr="00EF0A2C">
        <w:rPr>
          <w:rFonts w:ascii="Times New Roman" w:hAnsi="Times New Roman" w:cs="Times New Roman"/>
          <w:sz w:val="24"/>
        </w:rPr>
        <w:t xml:space="preserve"> test </w:t>
      </w:r>
      <w:r w:rsidR="001A21B9" w:rsidRPr="00EF0A2C">
        <w:rPr>
          <w:rFonts w:ascii="Times New Roman" w:hAnsi="Times New Roman" w:cs="Times New Roman"/>
          <w:sz w:val="24"/>
        </w:rPr>
        <w:t xml:space="preserve">de </w:t>
      </w:r>
      <w:r w:rsidRPr="00EF0A2C">
        <w:rPr>
          <w:rFonts w:ascii="Times New Roman" w:hAnsi="Times New Roman" w:cs="Times New Roman"/>
          <w:sz w:val="24"/>
        </w:rPr>
        <w:t>l’égalité des coefficients pour tous les pays. Cette deuxième étape ne permet pas de rejeter, au seuil de 5%, l’hypothèse d’égalité des coefficients pour tous les pays. Les estimations donnent en effet une statistique de Fisher F2= 8</w:t>
      </w:r>
      <w:r w:rsidR="000A5871" w:rsidRPr="00EF0A2C">
        <w:rPr>
          <w:rFonts w:ascii="Times New Roman" w:hAnsi="Times New Roman" w:cs="Times New Roman"/>
          <w:sz w:val="24"/>
        </w:rPr>
        <w:t>,</w:t>
      </w:r>
      <w:r w:rsidRPr="00EF0A2C">
        <w:rPr>
          <w:rFonts w:ascii="Times New Roman" w:hAnsi="Times New Roman" w:cs="Times New Roman"/>
          <w:sz w:val="24"/>
        </w:rPr>
        <w:t>034 et une P-value = 4</w:t>
      </w:r>
      <w:r w:rsidR="000A5871" w:rsidRPr="00EF0A2C">
        <w:rPr>
          <w:rFonts w:ascii="Times New Roman" w:hAnsi="Times New Roman" w:cs="Times New Roman"/>
          <w:sz w:val="24"/>
        </w:rPr>
        <w:t>,</w:t>
      </w:r>
      <w:r w:rsidRPr="00EF0A2C">
        <w:rPr>
          <w:rFonts w:ascii="Times New Roman" w:hAnsi="Times New Roman" w:cs="Times New Roman"/>
          <w:sz w:val="24"/>
        </w:rPr>
        <w:t>392%. Le test d’</w:t>
      </w:r>
      <w:proofErr w:type="spellStart"/>
      <w:r w:rsidRPr="00EF0A2C">
        <w:rPr>
          <w:rFonts w:ascii="Times New Roman" w:hAnsi="Times New Roman" w:cs="Times New Roman"/>
          <w:sz w:val="24"/>
        </w:rPr>
        <w:t>endogénéïté</w:t>
      </w:r>
      <w:proofErr w:type="spellEnd"/>
      <w:r w:rsidRPr="00EF0A2C">
        <w:rPr>
          <w:rFonts w:ascii="Times New Roman" w:hAnsi="Times New Roman" w:cs="Times New Roman"/>
          <w:sz w:val="24"/>
        </w:rPr>
        <w:t xml:space="preserve"> d’Hausman qui a une probabilité de 0,024 permet de rejeter l’hypothèse nulle (absence d’</w:t>
      </w:r>
      <w:proofErr w:type="spellStart"/>
      <w:r w:rsidRPr="00EF0A2C">
        <w:rPr>
          <w:rFonts w:ascii="Times New Roman" w:hAnsi="Times New Roman" w:cs="Times New Roman"/>
          <w:sz w:val="24"/>
        </w:rPr>
        <w:t>endogénéïté</w:t>
      </w:r>
      <w:proofErr w:type="spellEnd"/>
      <w:r w:rsidRPr="00EF0A2C">
        <w:rPr>
          <w:rFonts w:ascii="Times New Roman" w:hAnsi="Times New Roman" w:cs="Times New Roman"/>
          <w:sz w:val="24"/>
        </w:rPr>
        <w:t>) au seuil de 10% du développement financier. Le même test révèle que le taux de croissance économique n’est pas endogène.</w:t>
      </w:r>
    </w:p>
    <w:p w14:paraId="3B8EF970" w14:textId="77777777" w:rsidR="003A1034" w:rsidRDefault="00F93D0E">
      <w:pPr>
        <w:pStyle w:val="Titre3"/>
        <w:numPr>
          <w:ilvl w:val="1"/>
          <w:numId w:val="10"/>
        </w:numPr>
        <w:jc w:val="left"/>
        <w:rPr>
          <w:i w:val="0"/>
          <w:color w:val="000000" w:themeColor="text1"/>
        </w:rPr>
      </w:pPr>
      <w:r>
        <w:rPr>
          <w:i w:val="0"/>
          <w:color w:val="000000" w:themeColor="text1"/>
        </w:rPr>
        <w:t>Technique d’estimation</w:t>
      </w:r>
    </w:p>
    <w:p w14:paraId="7704210A" w14:textId="07BB347C" w:rsidR="003A1034" w:rsidRDefault="00F93D0E">
      <w:pPr>
        <w:spacing w:line="240" w:lineRule="auto"/>
        <w:jc w:val="both"/>
        <w:rPr>
          <w:rFonts w:ascii="Times New Roman" w:hAnsi="Times New Roman" w:cs="Times New Roman"/>
          <w:sz w:val="24"/>
        </w:rPr>
      </w:pPr>
      <w:r>
        <w:rPr>
          <w:rFonts w:ascii="Times New Roman" w:hAnsi="Times New Roman" w:cs="Times New Roman"/>
          <w:sz w:val="24"/>
        </w:rPr>
        <w:t>L'application des méthodes d'estimation habituelles</w:t>
      </w:r>
      <w:r w:rsidR="00482096">
        <w:rPr>
          <w:rFonts w:ascii="Times New Roman" w:hAnsi="Times New Roman" w:cs="Times New Roman"/>
          <w:sz w:val="24"/>
        </w:rPr>
        <w:t xml:space="preserve"> peut </w:t>
      </w:r>
      <w:r>
        <w:rPr>
          <w:rFonts w:ascii="Times New Roman" w:hAnsi="Times New Roman" w:cs="Times New Roman"/>
          <w:sz w:val="24"/>
        </w:rPr>
        <w:t>condui</w:t>
      </w:r>
      <w:r w:rsidR="00482096">
        <w:rPr>
          <w:rFonts w:ascii="Times New Roman" w:hAnsi="Times New Roman" w:cs="Times New Roman"/>
          <w:sz w:val="24"/>
        </w:rPr>
        <w:t>re</w:t>
      </w:r>
      <w:r>
        <w:rPr>
          <w:rFonts w:ascii="Times New Roman" w:hAnsi="Times New Roman" w:cs="Times New Roman"/>
          <w:sz w:val="24"/>
        </w:rPr>
        <w:t xml:space="preserve"> à des résultats biaisés et à des interprétations erronées. </w:t>
      </w:r>
      <w:r w:rsidR="00482096">
        <w:rPr>
          <w:rFonts w:ascii="Times New Roman" w:hAnsi="Times New Roman" w:cs="Times New Roman"/>
          <w:sz w:val="24"/>
        </w:rPr>
        <w:t>L</w:t>
      </w:r>
      <w:r>
        <w:rPr>
          <w:rFonts w:ascii="Times New Roman" w:hAnsi="Times New Roman" w:cs="Times New Roman"/>
          <w:sz w:val="24"/>
        </w:rPr>
        <w:t>a méthode des moments généralisés (GMM) d’</w:t>
      </w:r>
      <w:proofErr w:type="spellStart"/>
      <w:r>
        <w:rPr>
          <w:rFonts w:ascii="Times New Roman" w:hAnsi="Times New Roman" w:cs="Times New Roman"/>
          <w:sz w:val="24"/>
        </w:rPr>
        <w:t>Arellano</w:t>
      </w:r>
      <w:proofErr w:type="spellEnd"/>
      <w:r>
        <w:rPr>
          <w:rFonts w:ascii="Times New Roman" w:hAnsi="Times New Roman" w:cs="Times New Roman"/>
          <w:sz w:val="24"/>
        </w:rPr>
        <w:t xml:space="preserve"> et Bond (1998), reconnue comme étant adaptée l’estimation sur des échantillons de taille limitée, de modèles comportant des variables endogènes parmi les explicatives</w:t>
      </w:r>
      <w:r w:rsidR="00482096">
        <w:rPr>
          <w:rFonts w:ascii="Times New Roman" w:hAnsi="Times New Roman" w:cs="Times New Roman"/>
          <w:sz w:val="24"/>
        </w:rPr>
        <w:t xml:space="preserve"> est utilisée dans cette recherche</w:t>
      </w:r>
      <w:r w:rsidR="00543C9A">
        <w:rPr>
          <w:rFonts w:ascii="Times New Roman" w:hAnsi="Times New Roman" w:cs="Times New Roman"/>
          <w:sz w:val="24"/>
        </w:rPr>
        <w:t>.</w:t>
      </w:r>
    </w:p>
    <w:p w14:paraId="4ED6A7FD" w14:textId="77777777" w:rsidR="003A1034" w:rsidRDefault="003A1034">
      <w:pPr>
        <w:spacing w:line="240" w:lineRule="auto"/>
        <w:jc w:val="both"/>
        <w:rPr>
          <w:rFonts w:ascii="Times New Roman" w:hAnsi="Times New Roman" w:cs="Times New Roman"/>
          <w:sz w:val="24"/>
        </w:rPr>
      </w:pPr>
    </w:p>
    <w:p w14:paraId="1BF77BB7" w14:textId="70EA49A3" w:rsidR="003A1034" w:rsidRDefault="003A1034">
      <w:pPr>
        <w:spacing w:line="240" w:lineRule="auto"/>
        <w:jc w:val="both"/>
        <w:rPr>
          <w:rFonts w:ascii="Times New Roman" w:hAnsi="Times New Roman" w:cs="Times New Roman"/>
          <w:sz w:val="24"/>
        </w:rPr>
      </w:pPr>
    </w:p>
    <w:p w14:paraId="6717D964" w14:textId="18FBAFD1" w:rsidR="009628BF" w:rsidRDefault="009628BF">
      <w:pPr>
        <w:spacing w:line="240" w:lineRule="auto"/>
        <w:jc w:val="both"/>
        <w:rPr>
          <w:rFonts w:ascii="Times New Roman" w:hAnsi="Times New Roman" w:cs="Times New Roman"/>
          <w:sz w:val="24"/>
        </w:rPr>
      </w:pPr>
    </w:p>
    <w:p w14:paraId="0A949A47" w14:textId="01EF55DC" w:rsidR="009628BF" w:rsidRDefault="009628BF">
      <w:pPr>
        <w:spacing w:line="240" w:lineRule="auto"/>
        <w:jc w:val="both"/>
        <w:rPr>
          <w:rFonts w:ascii="Times New Roman" w:hAnsi="Times New Roman" w:cs="Times New Roman"/>
          <w:sz w:val="24"/>
        </w:rPr>
      </w:pPr>
    </w:p>
    <w:p w14:paraId="55BD9803" w14:textId="657D82AE" w:rsidR="009628BF" w:rsidRDefault="009628BF">
      <w:pPr>
        <w:spacing w:line="240" w:lineRule="auto"/>
        <w:jc w:val="both"/>
        <w:rPr>
          <w:rFonts w:ascii="Times New Roman" w:hAnsi="Times New Roman" w:cs="Times New Roman"/>
          <w:sz w:val="24"/>
        </w:rPr>
      </w:pPr>
    </w:p>
    <w:p w14:paraId="1B0B4B05" w14:textId="1B49B152" w:rsidR="009628BF" w:rsidRDefault="009628BF">
      <w:pPr>
        <w:spacing w:line="240" w:lineRule="auto"/>
        <w:jc w:val="both"/>
        <w:rPr>
          <w:rFonts w:ascii="Times New Roman" w:hAnsi="Times New Roman" w:cs="Times New Roman"/>
          <w:sz w:val="24"/>
        </w:rPr>
      </w:pPr>
    </w:p>
    <w:p w14:paraId="75245A99" w14:textId="0EB4882F" w:rsidR="009628BF" w:rsidRDefault="009628BF">
      <w:pPr>
        <w:spacing w:line="240" w:lineRule="auto"/>
        <w:jc w:val="both"/>
        <w:rPr>
          <w:rFonts w:ascii="Times New Roman" w:hAnsi="Times New Roman" w:cs="Times New Roman"/>
          <w:sz w:val="24"/>
        </w:rPr>
      </w:pPr>
    </w:p>
    <w:p w14:paraId="3ED93C6E" w14:textId="2EF01B22" w:rsidR="009628BF" w:rsidRDefault="009628BF">
      <w:pPr>
        <w:spacing w:line="240" w:lineRule="auto"/>
        <w:jc w:val="both"/>
        <w:rPr>
          <w:rFonts w:ascii="Times New Roman" w:hAnsi="Times New Roman" w:cs="Times New Roman"/>
          <w:sz w:val="24"/>
        </w:rPr>
      </w:pPr>
    </w:p>
    <w:p w14:paraId="4C4DB2A7" w14:textId="5BCB9F8F" w:rsidR="009628BF" w:rsidRDefault="009628BF">
      <w:pPr>
        <w:spacing w:line="240" w:lineRule="auto"/>
        <w:jc w:val="both"/>
        <w:rPr>
          <w:rFonts w:ascii="Times New Roman" w:hAnsi="Times New Roman" w:cs="Times New Roman"/>
          <w:sz w:val="24"/>
        </w:rPr>
      </w:pPr>
    </w:p>
    <w:p w14:paraId="2DB52A8F" w14:textId="1A2E8239" w:rsidR="009628BF" w:rsidRDefault="009628BF">
      <w:pPr>
        <w:spacing w:line="240" w:lineRule="auto"/>
        <w:jc w:val="both"/>
        <w:rPr>
          <w:rFonts w:ascii="Times New Roman" w:hAnsi="Times New Roman" w:cs="Times New Roman"/>
          <w:sz w:val="24"/>
        </w:rPr>
      </w:pPr>
    </w:p>
    <w:p w14:paraId="2988CF1E" w14:textId="77777777" w:rsidR="009628BF" w:rsidRDefault="009628BF">
      <w:pPr>
        <w:spacing w:line="240" w:lineRule="auto"/>
        <w:jc w:val="both"/>
        <w:rPr>
          <w:rFonts w:ascii="Times New Roman" w:hAnsi="Times New Roman" w:cs="Times New Roman"/>
          <w:sz w:val="24"/>
        </w:rPr>
      </w:pPr>
    </w:p>
    <w:p w14:paraId="0051D70D" w14:textId="240B2F73" w:rsidR="003A1034" w:rsidRDefault="003A1034">
      <w:pPr>
        <w:spacing w:line="240" w:lineRule="auto"/>
        <w:jc w:val="both"/>
        <w:rPr>
          <w:rFonts w:ascii="Times New Roman" w:hAnsi="Times New Roman" w:cs="Times New Roman"/>
          <w:sz w:val="24"/>
        </w:rPr>
      </w:pPr>
    </w:p>
    <w:p w14:paraId="5C281F53" w14:textId="0A46971C" w:rsidR="00FC2B0F" w:rsidRDefault="00FC2B0F">
      <w:pPr>
        <w:spacing w:line="240" w:lineRule="auto"/>
        <w:jc w:val="both"/>
        <w:rPr>
          <w:rFonts w:ascii="Times New Roman" w:hAnsi="Times New Roman" w:cs="Times New Roman"/>
          <w:sz w:val="24"/>
        </w:rPr>
      </w:pPr>
    </w:p>
    <w:p w14:paraId="511FCC7C" w14:textId="4BF49D8B" w:rsidR="00FC2B0F" w:rsidRDefault="00FC2B0F">
      <w:pPr>
        <w:spacing w:line="240" w:lineRule="auto"/>
        <w:jc w:val="both"/>
        <w:rPr>
          <w:rFonts w:ascii="Times New Roman" w:hAnsi="Times New Roman" w:cs="Times New Roman"/>
          <w:sz w:val="24"/>
        </w:rPr>
      </w:pPr>
    </w:p>
    <w:p w14:paraId="024CB7F0" w14:textId="77777777" w:rsidR="00FC2B0F" w:rsidRDefault="00FC2B0F">
      <w:pPr>
        <w:spacing w:line="240" w:lineRule="auto"/>
        <w:jc w:val="both"/>
        <w:rPr>
          <w:rFonts w:ascii="Times New Roman" w:hAnsi="Times New Roman" w:cs="Times New Roman"/>
          <w:sz w:val="24"/>
        </w:rPr>
      </w:pPr>
      <w:bookmarkStart w:id="5" w:name="_GoBack"/>
      <w:bookmarkEnd w:id="5"/>
    </w:p>
    <w:p w14:paraId="5EB3D0B5" w14:textId="77777777" w:rsidR="003A1034" w:rsidRDefault="00F93D0E">
      <w:pPr>
        <w:pStyle w:val="Titre3"/>
        <w:numPr>
          <w:ilvl w:val="1"/>
          <w:numId w:val="10"/>
        </w:numPr>
        <w:jc w:val="left"/>
        <w:rPr>
          <w:i w:val="0"/>
          <w:color w:val="000000" w:themeColor="text1"/>
        </w:rPr>
      </w:pPr>
      <w:r>
        <w:rPr>
          <w:i w:val="0"/>
          <w:color w:val="000000" w:themeColor="text1"/>
        </w:rPr>
        <w:lastRenderedPageBreak/>
        <w:t>Interprétations des résultats</w:t>
      </w:r>
    </w:p>
    <w:p w14:paraId="335A986E" w14:textId="77777777" w:rsidR="003A1034" w:rsidRDefault="00F93D0E">
      <w:pPr>
        <w:jc w:val="both"/>
        <w:rPr>
          <w:rFonts w:ascii="Times New Roman" w:hAnsi="Times New Roman" w:cs="Times New Roman"/>
          <w:sz w:val="24"/>
        </w:rPr>
      </w:pPr>
      <w:r>
        <w:rPr>
          <w:rFonts w:ascii="Times New Roman" w:hAnsi="Times New Roman" w:cs="Times New Roman"/>
          <w:sz w:val="24"/>
        </w:rPr>
        <w:t>Cette partie présente les résultats de l’estimation économétrique et leurs interprétations.</w:t>
      </w:r>
    </w:p>
    <w:p w14:paraId="359692AC" w14:textId="77777777" w:rsidR="003A1034" w:rsidRDefault="00F93D0E">
      <w:pPr>
        <w:pStyle w:val="Lgende"/>
        <w:spacing w:line="276" w:lineRule="auto"/>
        <w:rPr>
          <w:rFonts w:ascii="Times New Roman" w:hAnsi="Times New Roman" w:cs="Times New Roman"/>
          <w:color w:val="000000" w:themeColor="text1"/>
          <w:sz w:val="24"/>
        </w:rPr>
      </w:pPr>
      <w:bookmarkStart w:id="6" w:name="_Toc500706335"/>
      <w:r>
        <w:rPr>
          <w:rFonts w:ascii="Times New Roman" w:hAnsi="Times New Roman" w:cs="Times New Roman"/>
          <w:color w:val="000000" w:themeColor="text1"/>
          <w:sz w:val="24"/>
          <w:u w:val="single"/>
        </w:rPr>
        <w:t>Tableau 3</w:t>
      </w:r>
      <w:r>
        <w:rPr>
          <w:rFonts w:ascii="Times New Roman" w:hAnsi="Times New Roman" w:cs="Times New Roman"/>
          <w:color w:val="000000" w:themeColor="text1"/>
          <w:sz w:val="24"/>
        </w:rPr>
        <w:t> : résultats de l’estimation</w:t>
      </w:r>
      <w:r>
        <w:rPr>
          <w:rStyle w:val="Appelnotedebasdep"/>
          <w:rFonts w:ascii="Times New Roman" w:hAnsi="Times New Roman" w:cs="Times New Roman"/>
          <w:color w:val="000000" w:themeColor="text1"/>
          <w:sz w:val="24"/>
        </w:rPr>
        <w:footnoteReference w:id="2"/>
      </w:r>
      <w:bookmarkEnd w:id="6"/>
    </w:p>
    <w:tbl>
      <w:tblPr>
        <w:tblpPr w:leftFromText="141" w:rightFromText="141" w:vertAnchor="text" w:horzAnchor="margin" w:tblpY="48"/>
        <w:tblW w:w="9511" w:type="dxa"/>
        <w:tblCellMar>
          <w:left w:w="144" w:type="dxa"/>
          <w:right w:w="144" w:type="dxa"/>
        </w:tblCellMar>
        <w:tblLook w:val="04A0" w:firstRow="1" w:lastRow="0" w:firstColumn="1" w:lastColumn="0" w:noHBand="0" w:noVBand="1"/>
      </w:tblPr>
      <w:tblGrid>
        <w:gridCol w:w="5268"/>
        <w:gridCol w:w="4201"/>
        <w:gridCol w:w="42"/>
      </w:tblGrid>
      <w:tr w:rsidR="003A1034" w14:paraId="533D85EF" w14:textId="77777777">
        <w:trPr>
          <w:gridAfter w:val="1"/>
          <w:wAfter w:w="42" w:type="dxa"/>
          <w:trHeight w:val="1099"/>
        </w:trPr>
        <w:tc>
          <w:tcPr>
            <w:tcW w:w="9469" w:type="dxa"/>
            <w:gridSpan w:val="2"/>
            <w:tcBorders>
              <w:top w:val="nil"/>
              <w:left w:val="nil"/>
              <w:bottom w:val="nil"/>
              <w:right w:val="nil"/>
            </w:tcBorders>
          </w:tcPr>
          <w:p w14:paraId="6C859ABC" w14:textId="77777777" w:rsidR="003A1034" w:rsidRDefault="003A1034">
            <w:pPr>
              <w:widowControl w:val="0"/>
              <w:tabs>
                <w:tab w:val="left" w:pos="2131"/>
              </w:tabs>
              <w:autoSpaceDE w:val="0"/>
              <w:autoSpaceDN w:val="0"/>
              <w:adjustRightInd w:val="0"/>
              <w:spacing w:before="79" w:after="79"/>
              <w:rPr>
                <w:rFonts w:ascii="Times New Roman" w:hAnsi="Times New Roman" w:cs="Times New Roman"/>
                <w:sz w:val="24"/>
                <w:szCs w:val="24"/>
              </w:rPr>
            </w:pPr>
          </w:p>
          <w:p w14:paraId="5C8E1EB9" w14:textId="77777777" w:rsidR="003A1034" w:rsidRDefault="00F93D0E">
            <w:pPr>
              <w:widowControl w:val="0"/>
              <w:autoSpaceDE w:val="0"/>
              <w:autoSpaceDN w:val="0"/>
              <w:adjustRightInd w:val="0"/>
              <w:spacing w:before="79" w:after="79"/>
              <w:jc w:val="center"/>
              <w:rPr>
                <w:rFonts w:ascii="Times New Roman" w:hAnsi="Times New Roman" w:cs="Times New Roman"/>
                <w:b/>
                <w:sz w:val="24"/>
                <w:szCs w:val="24"/>
              </w:rPr>
            </w:pPr>
            <w:r>
              <w:rPr>
                <w:rFonts w:ascii="Times New Roman" w:hAnsi="Times New Roman" w:cs="Times New Roman"/>
                <w:b/>
                <w:sz w:val="24"/>
                <w:szCs w:val="24"/>
              </w:rPr>
              <w:t>Variable dépendante : taux de croissance du PIB réel par tête (g)</w:t>
            </w:r>
          </w:p>
        </w:tc>
      </w:tr>
      <w:tr w:rsidR="003A1034" w14:paraId="36B9987E" w14:textId="77777777">
        <w:trPr>
          <w:gridAfter w:val="1"/>
          <w:wAfter w:w="42" w:type="dxa"/>
          <w:trHeight w:val="482"/>
        </w:trPr>
        <w:tc>
          <w:tcPr>
            <w:tcW w:w="9469" w:type="dxa"/>
            <w:gridSpan w:val="2"/>
            <w:tcBorders>
              <w:top w:val="single" w:sz="6" w:space="0" w:color="auto"/>
              <w:left w:val="nil"/>
              <w:bottom w:val="nil"/>
              <w:right w:val="nil"/>
            </w:tcBorders>
          </w:tcPr>
          <w:p w14:paraId="7A47FCC9" w14:textId="77777777" w:rsidR="003A1034" w:rsidRDefault="00F93D0E">
            <w:pPr>
              <w:widowControl w:val="0"/>
              <w:autoSpaceDE w:val="0"/>
              <w:autoSpaceDN w:val="0"/>
              <w:adjustRightInd w:val="0"/>
              <w:spacing w:before="79" w:after="79"/>
              <w:jc w:val="center"/>
              <w:rPr>
                <w:rFonts w:ascii="Times New Roman" w:hAnsi="Times New Roman" w:cs="Times New Roman"/>
                <w:b/>
                <w:sz w:val="24"/>
                <w:szCs w:val="24"/>
              </w:rPr>
            </w:pPr>
            <w:r>
              <w:rPr>
                <w:rFonts w:ascii="Times New Roman" w:hAnsi="Times New Roman" w:cs="Times New Roman"/>
                <w:b/>
                <w:sz w:val="24"/>
                <w:szCs w:val="24"/>
              </w:rPr>
              <w:t>Méthodes des Moments Généralisés</w:t>
            </w:r>
          </w:p>
        </w:tc>
      </w:tr>
      <w:tr w:rsidR="003A1034" w14:paraId="774D32E9" w14:textId="77777777">
        <w:trPr>
          <w:trHeight w:val="301"/>
        </w:trPr>
        <w:tc>
          <w:tcPr>
            <w:tcW w:w="5268" w:type="dxa"/>
            <w:tcBorders>
              <w:top w:val="single" w:sz="6" w:space="0" w:color="auto"/>
              <w:left w:val="nil"/>
              <w:bottom w:val="nil"/>
              <w:right w:val="nil"/>
            </w:tcBorders>
          </w:tcPr>
          <w:p w14:paraId="091BDBCA" w14:textId="77777777" w:rsidR="003A1034" w:rsidRDefault="00F93D0E">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Crédit au secteur privé</w:t>
            </w:r>
          </w:p>
        </w:tc>
        <w:tc>
          <w:tcPr>
            <w:tcW w:w="4243" w:type="dxa"/>
            <w:gridSpan w:val="2"/>
            <w:tcBorders>
              <w:top w:val="single" w:sz="6" w:space="0" w:color="auto"/>
              <w:left w:val="nil"/>
              <w:bottom w:val="nil"/>
              <w:right w:val="nil"/>
            </w:tcBorders>
          </w:tcPr>
          <w:p w14:paraId="0CCB88D6" w14:textId="12DC0A30"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w:t>
            </w:r>
            <w:r w:rsidR="000A5871">
              <w:rPr>
                <w:rFonts w:ascii="Times New Roman" w:hAnsi="Times New Roman" w:cs="Times New Roman"/>
                <w:sz w:val="24"/>
                <w:szCs w:val="24"/>
              </w:rPr>
              <w:t>,</w:t>
            </w:r>
            <w:r>
              <w:rPr>
                <w:rFonts w:ascii="Times New Roman" w:hAnsi="Times New Roman" w:cs="Times New Roman"/>
                <w:sz w:val="24"/>
                <w:szCs w:val="24"/>
              </w:rPr>
              <w:t>247**</w:t>
            </w:r>
          </w:p>
        </w:tc>
      </w:tr>
      <w:tr w:rsidR="003A1034" w14:paraId="55D86CD8" w14:textId="77777777">
        <w:trPr>
          <w:trHeight w:val="316"/>
        </w:trPr>
        <w:tc>
          <w:tcPr>
            <w:tcW w:w="5268" w:type="dxa"/>
            <w:tcBorders>
              <w:top w:val="nil"/>
              <w:left w:val="nil"/>
              <w:bottom w:val="nil"/>
              <w:right w:val="nil"/>
            </w:tcBorders>
          </w:tcPr>
          <w:p w14:paraId="67A7052F" w14:textId="77777777" w:rsidR="003A1034" w:rsidRDefault="003A1034">
            <w:pPr>
              <w:widowControl w:val="0"/>
              <w:autoSpaceDE w:val="0"/>
              <w:autoSpaceDN w:val="0"/>
              <w:adjustRightInd w:val="0"/>
              <w:spacing w:after="0"/>
              <w:rPr>
                <w:rFonts w:ascii="Times New Roman" w:hAnsi="Times New Roman" w:cs="Times New Roman"/>
                <w:sz w:val="24"/>
                <w:szCs w:val="24"/>
              </w:rPr>
            </w:pPr>
          </w:p>
        </w:tc>
        <w:tc>
          <w:tcPr>
            <w:tcW w:w="4243" w:type="dxa"/>
            <w:gridSpan w:val="2"/>
            <w:tcBorders>
              <w:top w:val="nil"/>
              <w:left w:val="nil"/>
              <w:bottom w:val="nil"/>
              <w:right w:val="nil"/>
            </w:tcBorders>
          </w:tcPr>
          <w:p w14:paraId="0D7ED5B0" w14:textId="2138E4B6"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0"/>
                <w:szCs w:val="20"/>
              </w:rPr>
              <w:t>(2</w:t>
            </w:r>
            <w:r w:rsidR="000A5871">
              <w:rPr>
                <w:rFonts w:ascii="Times New Roman" w:hAnsi="Times New Roman" w:cs="Times New Roman"/>
                <w:sz w:val="20"/>
                <w:szCs w:val="20"/>
              </w:rPr>
              <w:t>,</w:t>
            </w:r>
            <w:r>
              <w:rPr>
                <w:rFonts w:ascii="Times New Roman" w:hAnsi="Times New Roman" w:cs="Times New Roman"/>
                <w:sz w:val="20"/>
                <w:szCs w:val="20"/>
              </w:rPr>
              <w:t>56)</w:t>
            </w:r>
          </w:p>
        </w:tc>
      </w:tr>
      <w:tr w:rsidR="003A1034" w14:paraId="3C9CAD31" w14:textId="77777777">
        <w:trPr>
          <w:trHeight w:val="301"/>
        </w:trPr>
        <w:tc>
          <w:tcPr>
            <w:tcW w:w="5268" w:type="dxa"/>
            <w:tcBorders>
              <w:top w:val="nil"/>
              <w:left w:val="nil"/>
              <w:bottom w:val="nil"/>
              <w:right w:val="nil"/>
            </w:tcBorders>
          </w:tcPr>
          <w:p w14:paraId="6AD4853D" w14:textId="77777777" w:rsidR="003A1034" w:rsidRDefault="00F93D0E">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Taux de croissance retardé</w:t>
            </w:r>
          </w:p>
        </w:tc>
        <w:tc>
          <w:tcPr>
            <w:tcW w:w="4243" w:type="dxa"/>
            <w:gridSpan w:val="2"/>
            <w:tcBorders>
              <w:top w:val="nil"/>
              <w:left w:val="nil"/>
              <w:bottom w:val="nil"/>
              <w:right w:val="nil"/>
            </w:tcBorders>
          </w:tcPr>
          <w:p w14:paraId="76086F24" w14:textId="1C4A331D"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-0</w:t>
            </w:r>
            <w:r w:rsidR="000A5871">
              <w:rPr>
                <w:rFonts w:ascii="Times New Roman" w:hAnsi="Times New Roman" w:cs="Times New Roman"/>
                <w:sz w:val="24"/>
                <w:szCs w:val="24"/>
              </w:rPr>
              <w:t>,</w:t>
            </w:r>
            <w:r>
              <w:rPr>
                <w:rFonts w:ascii="Times New Roman" w:hAnsi="Times New Roman" w:cs="Times New Roman"/>
                <w:sz w:val="24"/>
                <w:szCs w:val="24"/>
              </w:rPr>
              <w:t>187</w:t>
            </w:r>
          </w:p>
        </w:tc>
      </w:tr>
      <w:tr w:rsidR="003A1034" w14:paraId="3EB520E3" w14:textId="77777777">
        <w:trPr>
          <w:trHeight w:val="301"/>
        </w:trPr>
        <w:tc>
          <w:tcPr>
            <w:tcW w:w="5268" w:type="dxa"/>
            <w:tcBorders>
              <w:top w:val="nil"/>
              <w:left w:val="nil"/>
              <w:bottom w:val="nil"/>
              <w:right w:val="nil"/>
            </w:tcBorders>
          </w:tcPr>
          <w:p w14:paraId="61AD070B" w14:textId="77777777" w:rsidR="003A1034" w:rsidRDefault="003A1034">
            <w:pPr>
              <w:widowControl w:val="0"/>
              <w:autoSpaceDE w:val="0"/>
              <w:autoSpaceDN w:val="0"/>
              <w:adjustRightInd w:val="0"/>
              <w:spacing w:after="0"/>
              <w:rPr>
                <w:rFonts w:ascii="Times New Roman" w:hAnsi="Times New Roman" w:cs="Times New Roman"/>
                <w:sz w:val="24"/>
                <w:szCs w:val="24"/>
              </w:rPr>
            </w:pPr>
          </w:p>
        </w:tc>
        <w:tc>
          <w:tcPr>
            <w:tcW w:w="4243" w:type="dxa"/>
            <w:gridSpan w:val="2"/>
            <w:tcBorders>
              <w:top w:val="nil"/>
              <w:left w:val="nil"/>
              <w:bottom w:val="nil"/>
              <w:right w:val="nil"/>
            </w:tcBorders>
          </w:tcPr>
          <w:p w14:paraId="45F40D75" w14:textId="055C8FD5"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0"/>
                <w:szCs w:val="20"/>
              </w:rPr>
              <w:t>(1</w:t>
            </w:r>
            <w:r w:rsidR="000A5871">
              <w:rPr>
                <w:rFonts w:ascii="Times New Roman" w:hAnsi="Times New Roman" w:cs="Times New Roman"/>
                <w:sz w:val="20"/>
                <w:szCs w:val="20"/>
              </w:rPr>
              <w:t>,</w:t>
            </w:r>
            <w:r>
              <w:rPr>
                <w:rFonts w:ascii="Times New Roman" w:hAnsi="Times New Roman" w:cs="Times New Roman"/>
                <w:sz w:val="20"/>
                <w:szCs w:val="20"/>
              </w:rPr>
              <w:t>47)</w:t>
            </w:r>
          </w:p>
        </w:tc>
      </w:tr>
      <w:tr w:rsidR="003A1034" w14:paraId="2AAAB353" w14:textId="77777777">
        <w:trPr>
          <w:trHeight w:val="316"/>
        </w:trPr>
        <w:tc>
          <w:tcPr>
            <w:tcW w:w="5268" w:type="dxa"/>
            <w:tcBorders>
              <w:top w:val="nil"/>
              <w:left w:val="nil"/>
              <w:bottom w:val="nil"/>
              <w:right w:val="nil"/>
            </w:tcBorders>
          </w:tcPr>
          <w:p w14:paraId="45BB8712" w14:textId="77777777" w:rsidR="003A1034" w:rsidRDefault="00F93D0E">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Aide publique au développement</w:t>
            </w:r>
          </w:p>
        </w:tc>
        <w:tc>
          <w:tcPr>
            <w:tcW w:w="4243" w:type="dxa"/>
            <w:gridSpan w:val="2"/>
            <w:tcBorders>
              <w:top w:val="nil"/>
              <w:left w:val="nil"/>
              <w:bottom w:val="nil"/>
              <w:right w:val="nil"/>
            </w:tcBorders>
          </w:tcPr>
          <w:p w14:paraId="463998E0" w14:textId="54DA1E75"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0</w:t>
            </w:r>
            <w:r w:rsidR="000A5871">
              <w:rPr>
                <w:rFonts w:ascii="Times New Roman" w:hAnsi="Times New Roman" w:cs="Times New Roman"/>
                <w:sz w:val="24"/>
                <w:szCs w:val="24"/>
              </w:rPr>
              <w:t>,</w:t>
            </w:r>
            <w:r>
              <w:rPr>
                <w:rFonts w:ascii="Times New Roman" w:hAnsi="Times New Roman" w:cs="Times New Roman"/>
                <w:sz w:val="24"/>
                <w:szCs w:val="24"/>
              </w:rPr>
              <w:t>197***</w:t>
            </w:r>
          </w:p>
        </w:tc>
      </w:tr>
      <w:tr w:rsidR="003A1034" w14:paraId="5A71BF45" w14:textId="77777777">
        <w:trPr>
          <w:trHeight w:val="301"/>
        </w:trPr>
        <w:tc>
          <w:tcPr>
            <w:tcW w:w="5268" w:type="dxa"/>
            <w:tcBorders>
              <w:top w:val="nil"/>
              <w:left w:val="nil"/>
              <w:bottom w:val="nil"/>
              <w:right w:val="nil"/>
            </w:tcBorders>
          </w:tcPr>
          <w:p w14:paraId="71AE4AD8" w14:textId="77777777" w:rsidR="003A1034" w:rsidRDefault="003A1034">
            <w:pPr>
              <w:widowControl w:val="0"/>
              <w:autoSpaceDE w:val="0"/>
              <w:autoSpaceDN w:val="0"/>
              <w:adjustRightInd w:val="0"/>
              <w:spacing w:after="0"/>
              <w:rPr>
                <w:rFonts w:ascii="Times New Roman" w:hAnsi="Times New Roman" w:cs="Times New Roman"/>
                <w:sz w:val="24"/>
                <w:szCs w:val="24"/>
              </w:rPr>
            </w:pPr>
          </w:p>
        </w:tc>
        <w:tc>
          <w:tcPr>
            <w:tcW w:w="4243" w:type="dxa"/>
            <w:gridSpan w:val="2"/>
            <w:tcBorders>
              <w:top w:val="nil"/>
              <w:left w:val="nil"/>
              <w:bottom w:val="nil"/>
              <w:right w:val="nil"/>
            </w:tcBorders>
          </w:tcPr>
          <w:p w14:paraId="467A3C8D" w14:textId="7FF7B692"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0"/>
                <w:szCs w:val="20"/>
              </w:rPr>
              <w:t>(0</w:t>
            </w:r>
            <w:r w:rsidR="000A5871">
              <w:rPr>
                <w:rFonts w:ascii="Times New Roman" w:hAnsi="Times New Roman" w:cs="Times New Roman"/>
                <w:sz w:val="20"/>
                <w:szCs w:val="20"/>
              </w:rPr>
              <w:t>,</w:t>
            </w:r>
            <w:r>
              <w:rPr>
                <w:rFonts w:ascii="Times New Roman" w:hAnsi="Times New Roman" w:cs="Times New Roman"/>
                <w:sz w:val="20"/>
                <w:szCs w:val="20"/>
              </w:rPr>
              <w:t>26)</w:t>
            </w:r>
          </w:p>
        </w:tc>
      </w:tr>
      <w:tr w:rsidR="003A1034" w14:paraId="791A09D2" w14:textId="77777777">
        <w:trPr>
          <w:trHeight w:val="301"/>
        </w:trPr>
        <w:tc>
          <w:tcPr>
            <w:tcW w:w="5268" w:type="dxa"/>
            <w:tcBorders>
              <w:top w:val="nil"/>
              <w:left w:val="nil"/>
              <w:bottom w:val="nil"/>
              <w:right w:val="nil"/>
            </w:tcBorders>
          </w:tcPr>
          <w:p w14:paraId="58C38FEF" w14:textId="77777777" w:rsidR="003A1034" w:rsidRDefault="00F93D0E">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Dépenses publiques</w:t>
            </w:r>
          </w:p>
        </w:tc>
        <w:tc>
          <w:tcPr>
            <w:tcW w:w="4243" w:type="dxa"/>
            <w:gridSpan w:val="2"/>
            <w:tcBorders>
              <w:top w:val="nil"/>
              <w:left w:val="nil"/>
              <w:bottom w:val="nil"/>
              <w:right w:val="nil"/>
            </w:tcBorders>
          </w:tcPr>
          <w:p w14:paraId="6175A3CE" w14:textId="4777111E"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0</w:t>
            </w:r>
            <w:r w:rsidR="000A5871">
              <w:rPr>
                <w:rFonts w:ascii="Times New Roman" w:hAnsi="Times New Roman" w:cs="Times New Roman"/>
                <w:sz w:val="24"/>
                <w:szCs w:val="24"/>
              </w:rPr>
              <w:t>,</w:t>
            </w:r>
            <w:r>
              <w:rPr>
                <w:rFonts w:ascii="Times New Roman" w:hAnsi="Times New Roman" w:cs="Times New Roman"/>
                <w:sz w:val="24"/>
                <w:szCs w:val="24"/>
              </w:rPr>
              <w:t>165***</w:t>
            </w:r>
          </w:p>
        </w:tc>
      </w:tr>
      <w:tr w:rsidR="003A1034" w14:paraId="1D9148B1" w14:textId="77777777">
        <w:trPr>
          <w:trHeight w:val="316"/>
        </w:trPr>
        <w:tc>
          <w:tcPr>
            <w:tcW w:w="5268" w:type="dxa"/>
            <w:tcBorders>
              <w:top w:val="nil"/>
              <w:left w:val="nil"/>
              <w:bottom w:val="nil"/>
              <w:right w:val="nil"/>
            </w:tcBorders>
          </w:tcPr>
          <w:p w14:paraId="76F7C462" w14:textId="77777777" w:rsidR="003A1034" w:rsidRDefault="003A1034">
            <w:pPr>
              <w:widowControl w:val="0"/>
              <w:autoSpaceDE w:val="0"/>
              <w:autoSpaceDN w:val="0"/>
              <w:adjustRightInd w:val="0"/>
              <w:spacing w:after="0"/>
              <w:rPr>
                <w:rFonts w:ascii="Times New Roman" w:hAnsi="Times New Roman" w:cs="Times New Roman"/>
                <w:sz w:val="24"/>
                <w:szCs w:val="24"/>
              </w:rPr>
            </w:pPr>
          </w:p>
        </w:tc>
        <w:tc>
          <w:tcPr>
            <w:tcW w:w="4243" w:type="dxa"/>
            <w:gridSpan w:val="2"/>
            <w:tcBorders>
              <w:top w:val="nil"/>
              <w:left w:val="nil"/>
              <w:bottom w:val="nil"/>
              <w:right w:val="nil"/>
            </w:tcBorders>
          </w:tcPr>
          <w:p w14:paraId="1A35D0A0" w14:textId="3686D5B9"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0"/>
                <w:szCs w:val="20"/>
              </w:rPr>
              <w:t>(2</w:t>
            </w:r>
            <w:r w:rsidR="000A5871">
              <w:rPr>
                <w:rFonts w:ascii="Times New Roman" w:hAnsi="Times New Roman" w:cs="Times New Roman"/>
                <w:sz w:val="20"/>
                <w:szCs w:val="20"/>
              </w:rPr>
              <w:t>,</w:t>
            </w:r>
            <w:r>
              <w:rPr>
                <w:rFonts w:ascii="Times New Roman" w:hAnsi="Times New Roman" w:cs="Times New Roman"/>
                <w:sz w:val="20"/>
                <w:szCs w:val="20"/>
              </w:rPr>
              <w:t>87)</w:t>
            </w:r>
          </w:p>
        </w:tc>
      </w:tr>
      <w:tr w:rsidR="003A1034" w14:paraId="48301D9E" w14:textId="77777777">
        <w:trPr>
          <w:trHeight w:val="301"/>
        </w:trPr>
        <w:tc>
          <w:tcPr>
            <w:tcW w:w="5268" w:type="dxa"/>
            <w:tcBorders>
              <w:top w:val="nil"/>
              <w:left w:val="nil"/>
              <w:bottom w:val="nil"/>
              <w:right w:val="nil"/>
            </w:tcBorders>
          </w:tcPr>
          <w:p w14:paraId="699E7B7A" w14:textId="77777777" w:rsidR="003A1034" w:rsidRDefault="00F93D0E">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Ordre et loi</w:t>
            </w:r>
          </w:p>
        </w:tc>
        <w:tc>
          <w:tcPr>
            <w:tcW w:w="4243" w:type="dxa"/>
            <w:gridSpan w:val="2"/>
            <w:tcBorders>
              <w:top w:val="nil"/>
              <w:left w:val="nil"/>
              <w:bottom w:val="nil"/>
              <w:right w:val="nil"/>
            </w:tcBorders>
          </w:tcPr>
          <w:p w14:paraId="7FF3D49A" w14:textId="40C58FAF"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-0</w:t>
            </w:r>
            <w:r w:rsidR="000A5871">
              <w:rPr>
                <w:rFonts w:ascii="Times New Roman" w:hAnsi="Times New Roman" w:cs="Times New Roman"/>
                <w:sz w:val="24"/>
                <w:szCs w:val="24"/>
              </w:rPr>
              <w:t>,</w:t>
            </w:r>
            <w:r>
              <w:rPr>
                <w:rFonts w:ascii="Times New Roman" w:hAnsi="Times New Roman" w:cs="Times New Roman"/>
                <w:sz w:val="24"/>
                <w:szCs w:val="24"/>
              </w:rPr>
              <w:t>430</w:t>
            </w:r>
          </w:p>
        </w:tc>
      </w:tr>
      <w:tr w:rsidR="003A1034" w14:paraId="7210434B" w14:textId="77777777">
        <w:trPr>
          <w:trHeight w:val="301"/>
        </w:trPr>
        <w:tc>
          <w:tcPr>
            <w:tcW w:w="5268" w:type="dxa"/>
            <w:tcBorders>
              <w:top w:val="nil"/>
              <w:left w:val="nil"/>
              <w:bottom w:val="nil"/>
              <w:right w:val="nil"/>
            </w:tcBorders>
          </w:tcPr>
          <w:p w14:paraId="78ED1208" w14:textId="77777777" w:rsidR="003A1034" w:rsidRDefault="003A1034">
            <w:pPr>
              <w:widowControl w:val="0"/>
              <w:autoSpaceDE w:val="0"/>
              <w:autoSpaceDN w:val="0"/>
              <w:adjustRightInd w:val="0"/>
              <w:spacing w:after="0"/>
              <w:rPr>
                <w:rFonts w:ascii="Times New Roman" w:hAnsi="Times New Roman" w:cs="Times New Roman"/>
                <w:sz w:val="24"/>
                <w:szCs w:val="24"/>
              </w:rPr>
            </w:pPr>
          </w:p>
        </w:tc>
        <w:tc>
          <w:tcPr>
            <w:tcW w:w="4243" w:type="dxa"/>
            <w:gridSpan w:val="2"/>
            <w:tcBorders>
              <w:top w:val="nil"/>
              <w:left w:val="nil"/>
              <w:bottom w:val="nil"/>
              <w:right w:val="nil"/>
            </w:tcBorders>
          </w:tcPr>
          <w:p w14:paraId="39D9C2BB" w14:textId="2B4CA821"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0"/>
                <w:szCs w:val="20"/>
              </w:rPr>
              <w:t>(0</w:t>
            </w:r>
            <w:r w:rsidR="000A5871">
              <w:rPr>
                <w:rFonts w:ascii="Times New Roman" w:hAnsi="Times New Roman" w:cs="Times New Roman"/>
                <w:sz w:val="20"/>
                <w:szCs w:val="20"/>
              </w:rPr>
              <w:t>,</w:t>
            </w:r>
            <w:r>
              <w:rPr>
                <w:rFonts w:ascii="Times New Roman" w:hAnsi="Times New Roman" w:cs="Times New Roman"/>
                <w:sz w:val="20"/>
                <w:szCs w:val="20"/>
              </w:rPr>
              <w:t>37)</w:t>
            </w:r>
          </w:p>
        </w:tc>
      </w:tr>
      <w:tr w:rsidR="003A1034" w14:paraId="3F6B6F74" w14:textId="77777777">
        <w:trPr>
          <w:trHeight w:val="316"/>
        </w:trPr>
        <w:tc>
          <w:tcPr>
            <w:tcW w:w="5268" w:type="dxa"/>
            <w:tcBorders>
              <w:top w:val="nil"/>
              <w:left w:val="nil"/>
              <w:bottom w:val="nil"/>
              <w:right w:val="nil"/>
            </w:tcBorders>
          </w:tcPr>
          <w:p w14:paraId="74F27965" w14:textId="77777777" w:rsidR="003A1034" w:rsidRDefault="00F93D0E">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Capital humain</w:t>
            </w:r>
          </w:p>
        </w:tc>
        <w:tc>
          <w:tcPr>
            <w:tcW w:w="4243" w:type="dxa"/>
            <w:gridSpan w:val="2"/>
            <w:tcBorders>
              <w:top w:val="nil"/>
              <w:left w:val="nil"/>
              <w:bottom w:val="nil"/>
              <w:right w:val="nil"/>
            </w:tcBorders>
          </w:tcPr>
          <w:p w14:paraId="1528204A" w14:textId="0395C259"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-5</w:t>
            </w:r>
            <w:r w:rsidR="000A5871">
              <w:rPr>
                <w:rFonts w:ascii="Times New Roman" w:hAnsi="Times New Roman" w:cs="Times New Roman"/>
                <w:sz w:val="24"/>
                <w:szCs w:val="24"/>
              </w:rPr>
              <w:t>,</w:t>
            </w:r>
            <w:r>
              <w:rPr>
                <w:rFonts w:ascii="Times New Roman" w:hAnsi="Times New Roman" w:cs="Times New Roman"/>
                <w:sz w:val="24"/>
                <w:szCs w:val="24"/>
              </w:rPr>
              <w:t>554**</w:t>
            </w:r>
          </w:p>
        </w:tc>
      </w:tr>
      <w:tr w:rsidR="003A1034" w14:paraId="58777D2F" w14:textId="77777777">
        <w:trPr>
          <w:trHeight w:val="301"/>
        </w:trPr>
        <w:tc>
          <w:tcPr>
            <w:tcW w:w="5268" w:type="dxa"/>
            <w:tcBorders>
              <w:top w:val="nil"/>
              <w:left w:val="nil"/>
              <w:bottom w:val="nil"/>
              <w:right w:val="nil"/>
            </w:tcBorders>
          </w:tcPr>
          <w:p w14:paraId="179F944D" w14:textId="77777777" w:rsidR="003A1034" w:rsidRDefault="003A1034">
            <w:pPr>
              <w:widowControl w:val="0"/>
              <w:autoSpaceDE w:val="0"/>
              <w:autoSpaceDN w:val="0"/>
              <w:adjustRightInd w:val="0"/>
              <w:spacing w:after="0"/>
              <w:rPr>
                <w:rFonts w:ascii="Times New Roman" w:hAnsi="Times New Roman" w:cs="Times New Roman"/>
                <w:sz w:val="24"/>
                <w:szCs w:val="24"/>
              </w:rPr>
            </w:pPr>
          </w:p>
        </w:tc>
        <w:tc>
          <w:tcPr>
            <w:tcW w:w="4243" w:type="dxa"/>
            <w:gridSpan w:val="2"/>
            <w:tcBorders>
              <w:top w:val="nil"/>
              <w:left w:val="nil"/>
              <w:bottom w:val="nil"/>
              <w:right w:val="nil"/>
            </w:tcBorders>
          </w:tcPr>
          <w:p w14:paraId="60091BAC" w14:textId="6EF1B770"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0"/>
                <w:szCs w:val="20"/>
              </w:rPr>
              <w:t>(2</w:t>
            </w:r>
            <w:r w:rsidR="000A5871">
              <w:rPr>
                <w:rFonts w:ascii="Times New Roman" w:hAnsi="Times New Roman" w:cs="Times New Roman"/>
                <w:sz w:val="20"/>
                <w:szCs w:val="20"/>
              </w:rPr>
              <w:t>,</w:t>
            </w:r>
            <w:r>
              <w:rPr>
                <w:rFonts w:ascii="Times New Roman" w:hAnsi="Times New Roman" w:cs="Times New Roman"/>
                <w:sz w:val="20"/>
                <w:szCs w:val="20"/>
              </w:rPr>
              <w:t>19)</w:t>
            </w:r>
          </w:p>
        </w:tc>
      </w:tr>
      <w:tr w:rsidR="003A1034" w14:paraId="670A35E1" w14:textId="77777777">
        <w:trPr>
          <w:trHeight w:val="301"/>
        </w:trPr>
        <w:tc>
          <w:tcPr>
            <w:tcW w:w="5268" w:type="dxa"/>
            <w:tcBorders>
              <w:top w:val="nil"/>
              <w:left w:val="nil"/>
              <w:bottom w:val="nil"/>
              <w:right w:val="nil"/>
            </w:tcBorders>
          </w:tcPr>
          <w:p w14:paraId="7B0A5CE5" w14:textId="77777777" w:rsidR="003A1034" w:rsidRDefault="00F93D0E">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Crédit au secteur privé* Crédit au secteur privé</w:t>
            </w:r>
          </w:p>
        </w:tc>
        <w:tc>
          <w:tcPr>
            <w:tcW w:w="4243" w:type="dxa"/>
            <w:gridSpan w:val="2"/>
            <w:tcBorders>
              <w:top w:val="nil"/>
              <w:left w:val="nil"/>
              <w:bottom w:val="nil"/>
              <w:right w:val="nil"/>
            </w:tcBorders>
          </w:tcPr>
          <w:p w14:paraId="579AC1D0" w14:textId="793857B6"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-0</w:t>
            </w:r>
            <w:r w:rsidR="000A5871">
              <w:rPr>
                <w:rFonts w:ascii="Times New Roman" w:hAnsi="Times New Roman" w:cs="Times New Roman"/>
                <w:sz w:val="24"/>
                <w:szCs w:val="24"/>
              </w:rPr>
              <w:t>,</w:t>
            </w:r>
            <w:r>
              <w:rPr>
                <w:rFonts w:ascii="Times New Roman" w:hAnsi="Times New Roman" w:cs="Times New Roman"/>
                <w:sz w:val="24"/>
                <w:szCs w:val="24"/>
              </w:rPr>
              <w:t>058***</w:t>
            </w:r>
          </w:p>
        </w:tc>
      </w:tr>
      <w:tr w:rsidR="003A1034" w14:paraId="4CA6D455" w14:textId="77777777">
        <w:trPr>
          <w:trHeight w:val="301"/>
        </w:trPr>
        <w:tc>
          <w:tcPr>
            <w:tcW w:w="5268" w:type="dxa"/>
            <w:tcBorders>
              <w:top w:val="nil"/>
              <w:left w:val="nil"/>
              <w:bottom w:val="nil"/>
              <w:right w:val="nil"/>
            </w:tcBorders>
          </w:tcPr>
          <w:p w14:paraId="0DC1F978" w14:textId="77777777" w:rsidR="003A1034" w:rsidRDefault="003A1034">
            <w:pPr>
              <w:widowControl w:val="0"/>
              <w:autoSpaceDE w:val="0"/>
              <w:autoSpaceDN w:val="0"/>
              <w:adjustRightInd w:val="0"/>
              <w:spacing w:after="0"/>
              <w:rPr>
                <w:rFonts w:ascii="Times New Roman" w:hAnsi="Times New Roman" w:cs="Times New Roman"/>
                <w:sz w:val="24"/>
                <w:szCs w:val="24"/>
              </w:rPr>
            </w:pPr>
          </w:p>
        </w:tc>
        <w:tc>
          <w:tcPr>
            <w:tcW w:w="4243" w:type="dxa"/>
            <w:gridSpan w:val="2"/>
            <w:tcBorders>
              <w:top w:val="nil"/>
              <w:left w:val="nil"/>
              <w:bottom w:val="nil"/>
              <w:right w:val="nil"/>
            </w:tcBorders>
          </w:tcPr>
          <w:p w14:paraId="658C2651" w14:textId="1F54129C"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0"/>
                <w:szCs w:val="20"/>
              </w:rPr>
              <w:t>(2</w:t>
            </w:r>
            <w:r w:rsidR="000A5871">
              <w:rPr>
                <w:rFonts w:ascii="Times New Roman" w:hAnsi="Times New Roman" w:cs="Times New Roman"/>
                <w:sz w:val="20"/>
                <w:szCs w:val="20"/>
              </w:rPr>
              <w:t>,</w:t>
            </w:r>
            <w:r>
              <w:rPr>
                <w:rFonts w:ascii="Times New Roman" w:hAnsi="Times New Roman" w:cs="Times New Roman"/>
                <w:sz w:val="20"/>
                <w:szCs w:val="20"/>
              </w:rPr>
              <w:t>59)</w:t>
            </w:r>
          </w:p>
        </w:tc>
      </w:tr>
      <w:tr w:rsidR="003A1034" w14:paraId="6C5A3C76" w14:textId="77777777">
        <w:trPr>
          <w:trHeight w:val="316"/>
        </w:trPr>
        <w:tc>
          <w:tcPr>
            <w:tcW w:w="5268" w:type="dxa"/>
            <w:tcBorders>
              <w:top w:val="nil"/>
              <w:left w:val="nil"/>
              <w:bottom w:val="nil"/>
              <w:right w:val="nil"/>
            </w:tcBorders>
          </w:tcPr>
          <w:p w14:paraId="372C91BA" w14:textId="77777777" w:rsidR="003A1034" w:rsidRDefault="00F93D0E">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Constante</w:t>
            </w:r>
          </w:p>
        </w:tc>
        <w:tc>
          <w:tcPr>
            <w:tcW w:w="4243" w:type="dxa"/>
            <w:gridSpan w:val="2"/>
            <w:tcBorders>
              <w:top w:val="nil"/>
              <w:left w:val="nil"/>
              <w:bottom w:val="nil"/>
              <w:right w:val="nil"/>
            </w:tcBorders>
          </w:tcPr>
          <w:p w14:paraId="43DF6609" w14:textId="6A1E98BA"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-26</w:t>
            </w:r>
            <w:r w:rsidR="000A5871">
              <w:rPr>
                <w:rFonts w:ascii="Times New Roman" w:hAnsi="Times New Roman" w:cs="Times New Roman"/>
                <w:sz w:val="24"/>
                <w:szCs w:val="24"/>
              </w:rPr>
              <w:t>,</w:t>
            </w:r>
            <w:r>
              <w:rPr>
                <w:rFonts w:ascii="Times New Roman" w:hAnsi="Times New Roman" w:cs="Times New Roman"/>
                <w:sz w:val="24"/>
                <w:szCs w:val="24"/>
              </w:rPr>
              <w:t>753***</w:t>
            </w:r>
          </w:p>
        </w:tc>
      </w:tr>
      <w:tr w:rsidR="003A1034" w14:paraId="2466F494" w14:textId="77777777">
        <w:trPr>
          <w:trHeight w:val="301"/>
        </w:trPr>
        <w:tc>
          <w:tcPr>
            <w:tcW w:w="5268" w:type="dxa"/>
            <w:tcBorders>
              <w:top w:val="nil"/>
              <w:left w:val="nil"/>
              <w:bottom w:val="nil"/>
              <w:right w:val="nil"/>
            </w:tcBorders>
          </w:tcPr>
          <w:p w14:paraId="5CCE68DC" w14:textId="77777777" w:rsidR="003A1034" w:rsidRDefault="003A1034">
            <w:pPr>
              <w:widowControl w:val="0"/>
              <w:autoSpaceDE w:val="0"/>
              <w:autoSpaceDN w:val="0"/>
              <w:adjustRightInd w:val="0"/>
              <w:spacing w:after="0"/>
              <w:rPr>
                <w:rFonts w:ascii="Times New Roman" w:hAnsi="Times New Roman" w:cs="Times New Roman"/>
                <w:sz w:val="24"/>
                <w:szCs w:val="24"/>
              </w:rPr>
            </w:pPr>
          </w:p>
        </w:tc>
        <w:tc>
          <w:tcPr>
            <w:tcW w:w="4243" w:type="dxa"/>
            <w:gridSpan w:val="2"/>
            <w:tcBorders>
              <w:top w:val="nil"/>
              <w:left w:val="nil"/>
              <w:bottom w:val="nil"/>
              <w:right w:val="nil"/>
            </w:tcBorders>
          </w:tcPr>
          <w:p w14:paraId="7599B2A2" w14:textId="5769BA7C"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0"/>
                <w:szCs w:val="20"/>
              </w:rPr>
              <w:t>(2</w:t>
            </w:r>
            <w:r w:rsidR="000A5871">
              <w:rPr>
                <w:rFonts w:ascii="Times New Roman" w:hAnsi="Times New Roman" w:cs="Times New Roman"/>
                <w:sz w:val="20"/>
                <w:szCs w:val="20"/>
              </w:rPr>
              <w:t>,</w:t>
            </w:r>
            <w:r>
              <w:rPr>
                <w:rFonts w:ascii="Times New Roman" w:hAnsi="Times New Roman" w:cs="Times New Roman"/>
                <w:sz w:val="20"/>
                <w:szCs w:val="20"/>
              </w:rPr>
              <w:t>87)</w:t>
            </w:r>
          </w:p>
        </w:tc>
      </w:tr>
      <w:tr w:rsidR="003A1034" w14:paraId="673B5E4E" w14:textId="77777777">
        <w:trPr>
          <w:trHeight w:val="301"/>
        </w:trPr>
        <w:tc>
          <w:tcPr>
            <w:tcW w:w="5268" w:type="dxa"/>
            <w:tcBorders>
              <w:top w:val="nil"/>
              <w:left w:val="nil"/>
              <w:bottom w:val="nil"/>
              <w:right w:val="nil"/>
            </w:tcBorders>
          </w:tcPr>
          <w:p w14:paraId="1CC191D5" w14:textId="77777777" w:rsidR="003A1034" w:rsidRDefault="00F93D0E">
            <w:pPr>
              <w:widowControl w:val="0"/>
              <w:autoSpaceDE w:val="0"/>
              <w:autoSpaceDN w:val="0"/>
              <w:adjustRightInd w:val="0"/>
              <w:spacing w:after="0"/>
              <w:rPr>
                <w:rFonts w:ascii="Times New Roman" w:hAnsi="Times New Roman" w:cs="Times New Roman"/>
                <w:sz w:val="24"/>
                <w:szCs w:val="24"/>
                <w:vertAlign w:val="superscript"/>
              </w:rPr>
            </w:pPr>
            <w:r>
              <w:rPr>
                <w:rFonts w:ascii="Times New Roman" w:hAnsi="Times New Roman" w:cs="Times New Roman"/>
                <w:i/>
                <w:iCs/>
                <w:sz w:val="24"/>
                <w:szCs w:val="24"/>
              </w:rPr>
              <w:t>R</w:t>
            </w:r>
            <w:r>
              <w:rPr>
                <w:rFonts w:ascii="Times New Roman" w:hAnsi="Times New Roman" w:cs="Times New Roman"/>
                <w:sz w:val="24"/>
                <w:szCs w:val="24"/>
                <w:vertAlign w:val="superscript"/>
              </w:rPr>
              <w:t>2</w:t>
            </w:r>
          </w:p>
          <w:p w14:paraId="49045778" w14:textId="77777777" w:rsidR="003A1034" w:rsidRDefault="00F93D0E">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i/>
                <w:iCs/>
                <w:sz w:val="24"/>
                <w:szCs w:val="24"/>
              </w:rPr>
              <w:t>Prob&gt;chi2</w:t>
            </w:r>
          </w:p>
        </w:tc>
        <w:tc>
          <w:tcPr>
            <w:tcW w:w="4243" w:type="dxa"/>
            <w:gridSpan w:val="2"/>
            <w:tcBorders>
              <w:top w:val="nil"/>
              <w:left w:val="nil"/>
              <w:bottom w:val="nil"/>
              <w:right w:val="nil"/>
            </w:tcBorders>
          </w:tcPr>
          <w:p w14:paraId="469C6E2F" w14:textId="17064D58"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0</w:t>
            </w:r>
            <w:r w:rsidR="000A5871">
              <w:rPr>
                <w:rFonts w:ascii="Times New Roman" w:hAnsi="Times New Roman" w:cs="Times New Roman"/>
                <w:sz w:val="24"/>
                <w:szCs w:val="24"/>
              </w:rPr>
              <w:t>,</w:t>
            </w:r>
            <w:r>
              <w:rPr>
                <w:rFonts w:ascii="Times New Roman" w:hAnsi="Times New Roman" w:cs="Times New Roman"/>
                <w:sz w:val="24"/>
                <w:szCs w:val="24"/>
              </w:rPr>
              <w:t>56333</w:t>
            </w:r>
          </w:p>
          <w:p w14:paraId="7A3BE7DF" w14:textId="7CF0E5D2"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0</w:t>
            </w:r>
            <w:r w:rsidR="000A5871">
              <w:rPr>
                <w:rFonts w:ascii="Times New Roman" w:hAnsi="Times New Roman" w:cs="Times New Roman"/>
                <w:sz w:val="24"/>
                <w:szCs w:val="24"/>
              </w:rPr>
              <w:t>,</w:t>
            </w:r>
            <w:r>
              <w:rPr>
                <w:rFonts w:ascii="Times New Roman" w:hAnsi="Times New Roman" w:cs="Times New Roman"/>
                <w:sz w:val="24"/>
                <w:szCs w:val="24"/>
              </w:rPr>
              <w:t>00</w:t>
            </w:r>
          </w:p>
        </w:tc>
      </w:tr>
      <w:tr w:rsidR="003A1034" w14:paraId="2B7E229D" w14:textId="77777777">
        <w:trPr>
          <w:trHeight w:val="316"/>
        </w:trPr>
        <w:tc>
          <w:tcPr>
            <w:tcW w:w="5268" w:type="dxa"/>
            <w:tcBorders>
              <w:top w:val="nil"/>
              <w:left w:val="nil"/>
              <w:bottom w:val="single" w:sz="6" w:space="0" w:color="auto"/>
              <w:right w:val="nil"/>
            </w:tcBorders>
          </w:tcPr>
          <w:p w14:paraId="6B9DBFC2" w14:textId="77777777" w:rsidR="003A1034" w:rsidRDefault="00F93D0E">
            <w:pPr>
              <w:widowControl w:val="0"/>
              <w:autoSpaceDE w:val="0"/>
              <w:autoSpaceDN w:val="0"/>
              <w:adjustRightInd w:val="0"/>
              <w:spacing w:after="0"/>
              <w:rPr>
                <w:rFonts w:ascii="Times New Roman" w:hAnsi="Times New Roman" w:cs="Times New Roman"/>
                <w:sz w:val="24"/>
                <w:szCs w:val="24"/>
              </w:rPr>
            </w:pPr>
            <w:r>
              <w:rPr>
                <w:rFonts w:ascii="Times New Roman" w:hAnsi="Times New Roman" w:cs="Times New Roman"/>
                <w:i/>
                <w:iCs/>
                <w:sz w:val="24"/>
                <w:szCs w:val="24"/>
              </w:rPr>
              <w:t>N</w:t>
            </w:r>
          </w:p>
        </w:tc>
        <w:tc>
          <w:tcPr>
            <w:tcW w:w="4243" w:type="dxa"/>
            <w:gridSpan w:val="2"/>
            <w:tcBorders>
              <w:top w:val="nil"/>
              <w:left w:val="nil"/>
              <w:bottom w:val="single" w:sz="6" w:space="0" w:color="auto"/>
              <w:right w:val="nil"/>
            </w:tcBorders>
          </w:tcPr>
          <w:p w14:paraId="1DD2651F" w14:textId="77777777" w:rsidR="003A1034" w:rsidRDefault="00F93D0E">
            <w:pPr>
              <w:widowControl w:val="0"/>
              <w:tabs>
                <w:tab w:val="decimal" w:pos="674"/>
              </w:tabs>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 xml:space="preserve">         144</w:t>
            </w:r>
          </w:p>
        </w:tc>
      </w:tr>
    </w:tbl>
    <w:p w14:paraId="2102BE66" w14:textId="77777777" w:rsidR="003A1034" w:rsidRDefault="00F93D0E">
      <w:pPr>
        <w:widowControl w:val="0"/>
        <w:autoSpaceDE w:val="0"/>
        <w:autoSpaceDN w:val="0"/>
        <w:adjustRightInd w:val="0"/>
        <w:spacing w:before="79" w:after="79"/>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Source :</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 xml:space="preserve">construit par l’auteur </w:t>
      </w:r>
      <w:r>
        <w:rPr>
          <w:rFonts w:ascii="Times New Roman" w:hAnsi="Times New Roman" w:cs="Times New Roman"/>
          <w:color w:val="000000" w:themeColor="text1"/>
          <w:sz w:val="20"/>
          <w:szCs w:val="20"/>
        </w:rPr>
        <w:t>à partir de Stata/SE 11.0</w:t>
      </w:r>
    </w:p>
    <w:p w14:paraId="014F0EF9" w14:textId="4A1AA5B0" w:rsidR="003A1034" w:rsidRDefault="00F93D0E">
      <w:pPr>
        <w:widowControl w:val="0"/>
        <w:autoSpaceDE w:val="0"/>
        <w:autoSpaceDN w:val="0"/>
        <w:adjustRightInd w:val="0"/>
        <w:spacing w:before="79" w:after="79"/>
        <w:rPr>
          <w:rFonts w:ascii="Times New Roman" w:hAnsi="Times New Roman" w:cs="Times New Roman"/>
          <w:sz w:val="24"/>
          <w:szCs w:val="19"/>
        </w:rPr>
      </w:pPr>
      <w:r>
        <w:rPr>
          <w:rFonts w:ascii="Times New Roman" w:hAnsi="Times New Roman" w:cs="Times New Roman"/>
          <w:szCs w:val="19"/>
        </w:rPr>
        <w:t xml:space="preserve">** </w:t>
      </w:r>
      <w:r>
        <w:rPr>
          <w:rFonts w:ascii="Times New Roman" w:hAnsi="Times New Roman" w:cs="Times New Roman"/>
          <w:i/>
          <w:iCs/>
          <w:szCs w:val="19"/>
        </w:rPr>
        <w:t>p</w:t>
      </w:r>
      <w:r>
        <w:rPr>
          <w:rFonts w:ascii="Times New Roman" w:hAnsi="Times New Roman" w:cs="Times New Roman"/>
          <w:szCs w:val="19"/>
        </w:rPr>
        <w:t>&lt;0</w:t>
      </w:r>
      <w:r w:rsidR="000A5871">
        <w:rPr>
          <w:rFonts w:ascii="Times New Roman" w:hAnsi="Times New Roman" w:cs="Times New Roman"/>
          <w:szCs w:val="19"/>
        </w:rPr>
        <w:t>,</w:t>
      </w:r>
      <w:proofErr w:type="gramStart"/>
      <w:r>
        <w:rPr>
          <w:rFonts w:ascii="Times New Roman" w:hAnsi="Times New Roman" w:cs="Times New Roman"/>
          <w:szCs w:val="19"/>
        </w:rPr>
        <w:t>05;</w:t>
      </w:r>
      <w:proofErr w:type="gramEnd"/>
      <w:r>
        <w:rPr>
          <w:rFonts w:ascii="Times New Roman" w:hAnsi="Times New Roman" w:cs="Times New Roman"/>
          <w:szCs w:val="19"/>
        </w:rPr>
        <w:t xml:space="preserve"> *** </w:t>
      </w:r>
      <w:r>
        <w:rPr>
          <w:rFonts w:ascii="Times New Roman" w:hAnsi="Times New Roman" w:cs="Times New Roman"/>
          <w:i/>
          <w:iCs/>
          <w:szCs w:val="19"/>
        </w:rPr>
        <w:t>p</w:t>
      </w:r>
      <w:r>
        <w:rPr>
          <w:rFonts w:ascii="Times New Roman" w:hAnsi="Times New Roman" w:cs="Times New Roman"/>
          <w:szCs w:val="19"/>
        </w:rPr>
        <w:t>&lt;0</w:t>
      </w:r>
      <w:r w:rsidR="000A5871">
        <w:rPr>
          <w:rFonts w:ascii="Times New Roman" w:hAnsi="Times New Roman" w:cs="Times New Roman"/>
          <w:szCs w:val="19"/>
        </w:rPr>
        <w:t>,</w:t>
      </w:r>
      <w:r>
        <w:rPr>
          <w:rFonts w:ascii="Times New Roman" w:hAnsi="Times New Roman" w:cs="Times New Roman"/>
          <w:szCs w:val="19"/>
        </w:rPr>
        <w:t xml:space="preserve">01 </w:t>
      </w:r>
      <w:r>
        <w:rPr>
          <w:rFonts w:ascii="Times New Roman" w:hAnsi="Times New Roman" w:cs="Times New Roman"/>
          <w:sz w:val="24"/>
          <w:szCs w:val="19"/>
        </w:rPr>
        <w:t>indiquent respectivement la significativité à 5% et 1%</w:t>
      </w:r>
    </w:p>
    <w:p w14:paraId="50FE179C" w14:textId="77777777" w:rsidR="003A1034" w:rsidRDefault="003A1034">
      <w:pPr>
        <w:widowControl w:val="0"/>
        <w:autoSpaceDE w:val="0"/>
        <w:autoSpaceDN w:val="0"/>
        <w:adjustRightInd w:val="0"/>
        <w:spacing w:before="79" w:after="79"/>
        <w:rPr>
          <w:rFonts w:ascii="Times New Roman" w:hAnsi="Times New Roman" w:cs="Times New Roman"/>
          <w:sz w:val="24"/>
          <w:szCs w:val="24"/>
        </w:rPr>
      </w:pPr>
    </w:p>
    <w:p w14:paraId="30469562" w14:textId="0A1B8F34" w:rsidR="003A1034" w:rsidRDefault="009628BF">
      <w:pPr>
        <w:tabs>
          <w:tab w:val="left" w:pos="2174"/>
        </w:tabs>
        <w:spacing w:line="240" w:lineRule="auto"/>
        <w:jc w:val="both"/>
        <w:rPr>
          <w:rFonts w:ascii="Times New Roman" w:hAnsi="Times New Roman" w:cs="Times New Roman"/>
          <w:sz w:val="24"/>
        </w:rPr>
      </w:pPr>
      <w:r>
        <w:rPr>
          <w:rFonts w:ascii="Times New Roman" w:hAnsi="Times New Roman" w:cs="Times New Roman"/>
          <w:sz w:val="24"/>
        </w:rPr>
        <w:t>A travers le tableau des résultats</w:t>
      </w:r>
      <w:r w:rsidR="00FE2F46">
        <w:rPr>
          <w:rFonts w:ascii="Times New Roman" w:hAnsi="Times New Roman" w:cs="Times New Roman"/>
          <w:sz w:val="24"/>
        </w:rPr>
        <w:t xml:space="preserve"> </w:t>
      </w:r>
      <w:r>
        <w:rPr>
          <w:rFonts w:ascii="Times New Roman" w:hAnsi="Times New Roman" w:cs="Times New Roman"/>
          <w:sz w:val="24"/>
        </w:rPr>
        <w:t>c</w:t>
      </w:r>
      <w:r w:rsidR="00F93D0E">
        <w:rPr>
          <w:rFonts w:ascii="Times New Roman" w:hAnsi="Times New Roman" w:cs="Times New Roman"/>
          <w:sz w:val="24"/>
        </w:rPr>
        <w:t>inq (05) de</w:t>
      </w:r>
      <w:r w:rsidR="00FE2F46">
        <w:rPr>
          <w:rFonts w:ascii="Times New Roman" w:hAnsi="Times New Roman" w:cs="Times New Roman"/>
          <w:sz w:val="24"/>
        </w:rPr>
        <w:t>s</w:t>
      </w:r>
      <w:r w:rsidR="00F93D0E">
        <w:rPr>
          <w:rFonts w:ascii="Times New Roman" w:hAnsi="Times New Roman" w:cs="Times New Roman"/>
          <w:sz w:val="24"/>
        </w:rPr>
        <w:t xml:space="preserve"> variables sont significatives et statistiquement différentes de zéro. Il s’agit du développement financier (crédit accordé au secteur privé sur le PIB) ; sa forme quadratique (credpriv2), le capital humain (</w:t>
      </w:r>
      <w:proofErr w:type="spellStart"/>
      <w:r w:rsidR="00F93D0E">
        <w:rPr>
          <w:rFonts w:ascii="Times New Roman" w:hAnsi="Times New Roman" w:cs="Times New Roman"/>
          <w:sz w:val="24"/>
        </w:rPr>
        <w:t>ch</w:t>
      </w:r>
      <w:proofErr w:type="spellEnd"/>
      <w:r w:rsidR="00F93D0E">
        <w:rPr>
          <w:rFonts w:ascii="Times New Roman" w:hAnsi="Times New Roman" w:cs="Times New Roman"/>
          <w:sz w:val="24"/>
        </w:rPr>
        <w:t>), les dépenses publiques en pourcentage du PIB (</w:t>
      </w:r>
      <w:proofErr w:type="spellStart"/>
      <w:r w:rsidR="00F93D0E">
        <w:rPr>
          <w:rFonts w:ascii="Times New Roman" w:hAnsi="Times New Roman" w:cs="Times New Roman"/>
          <w:sz w:val="24"/>
        </w:rPr>
        <w:t>dp</w:t>
      </w:r>
      <w:proofErr w:type="spellEnd"/>
      <w:r w:rsidR="00F93D0E">
        <w:rPr>
          <w:rFonts w:ascii="Times New Roman" w:hAnsi="Times New Roman" w:cs="Times New Roman"/>
          <w:sz w:val="24"/>
        </w:rPr>
        <w:t>) et l’aide publique au développement en pourcentage du PIB (</w:t>
      </w:r>
      <w:proofErr w:type="spellStart"/>
      <w:r w:rsidR="00F93D0E">
        <w:rPr>
          <w:rFonts w:ascii="Times New Roman" w:hAnsi="Times New Roman" w:cs="Times New Roman"/>
          <w:sz w:val="24"/>
          <w:szCs w:val="24"/>
        </w:rPr>
        <w:t>aidepib</w:t>
      </w:r>
      <w:proofErr w:type="spellEnd"/>
      <w:r w:rsidR="00F93D0E">
        <w:rPr>
          <w:rFonts w:ascii="Times New Roman" w:hAnsi="Times New Roman" w:cs="Times New Roman"/>
          <w:sz w:val="24"/>
          <w:szCs w:val="24"/>
        </w:rPr>
        <w:t>)</w:t>
      </w:r>
      <w:r w:rsidR="00F93D0E">
        <w:rPr>
          <w:rFonts w:ascii="Times New Roman" w:hAnsi="Times New Roman" w:cs="Times New Roman"/>
          <w:sz w:val="24"/>
        </w:rPr>
        <w:t>. La probabilité Hansen</w:t>
      </w:r>
      <w:r w:rsidR="00F93D0E">
        <w:rPr>
          <w:rStyle w:val="Appelnotedebasdep"/>
          <w:rFonts w:ascii="Times New Roman" w:hAnsi="Times New Roman" w:cs="Times New Roman"/>
          <w:sz w:val="24"/>
        </w:rPr>
        <w:footnoteReference w:id="3"/>
      </w:r>
      <w:r w:rsidR="00F93D0E">
        <w:rPr>
          <w:rFonts w:ascii="Times New Roman" w:hAnsi="Times New Roman" w:cs="Times New Roman"/>
          <w:sz w:val="24"/>
        </w:rPr>
        <w:t xml:space="preserve"> est de p = 0</w:t>
      </w:r>
      <w:r w:rsidR="000A5871">
        <w:rPr>
          <w:rFonts w:ascii="Times New Roman" w:hAnsi="Times New Roman" w:cs="Times New Roman"/>
          <w:sz w:val="24"/>
        </w:rPr>
        <w:t>,</w:t>
      </w:r>
      <w:r w:rsidR="00F93D0E">
        <w:rPr>
          <w:rFonts w:ascii="Times New Roman" w:hAnsi="Times New Roman" w:cs="Times New Roman"/>
          <w:sz w:val="24"/>
        </w:rPr>
        <w:t xml:space="preserve">2451, </w:t>
      </w:r>
      <w:r w:rsidR="00FE2F46">
        <w:rPr>
          <w:rFonts w:ascii="Times New Roman" w:hAnsi="Times New Roman" w:cs="Times New Roman"/>
          <w:sz w:val="24"/>
        </w:rPr>
        <w:t>ne permet pas de</w:t>
      </w:r>
      <w:r w:rsidR="00F93D0E">
        <w:rPr>
          <w:rFonts w:ascii="Times New Roman" w:hAnsi="Times New Roman" w:cs="Times New Roman"/>
          <w:sz w:val="24"/>
        </w:rPr>
        <w:t xml:space="preserve"> rejeter l’hypothèse de la validité des instruments utilisés.</w:t>
      </w:r>
    </w:p>
    <w:p w14:paraId="1EDD8B33" w14:textId="44AD12C8" w:rsidR="003A1034" w:rsidRDefault="00FE2F46">
      <w:pPr>
        <w:tabs>
          <w:tab w:val="left" w:pos="1134"/>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F93D0E">
        <w:rPr>
          <w:rFonts w:ascii="Times New Roman" w:hAnsi="Times New Roman" w:cs="Times New Roman"/>
          <w:color w:val="000000" w:themeColor="text1"/>
          <w:sz w:val="24"/>
          <w:szCs w:val="24"/>
        </w:rPr>
        <w:t>analyse permet de trouver un seuil de :</w:t>
      </w:r>
    </w:p>
    <w:p w14:paraId="3431D8A7" w14:textId="77777777" w:rsidR="003A1034" w:rsidRDefault="001B4F1E">
      <w:pPr>
        <w:tabs>
          <w:tab w:val="left" w:pos="1134"/>
        </w:tabs>
        <w:jc w:val="both"/>
        <w:rPr>
          <w:rFonts w:ascii="Times New Roman" w:hAnsi="Times New Roman" w:cs="Times New Roman"/>
          <w:color w:val="000000" w:themeColor="text1"/>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 g</m:t>
              </m:r>
            </m:num>
            <m:den>
              <m:r>
                <w:rPr>
                  <w:rFonts w:ascii="Cambria Math" w:hAnsi="Cambria Math" w:cs="Times New Roman"/>
                  <w:sz w:val="24"/>
                  <w:szCs w:val="24"/>
                </w:rPr>
                <m:t>∂ credpriv</m:t>
              </m:r>
            </m:den>
          </m:f>
          <m:r>
            <w:rPr>
              <w:rFonts w:ascii="Cambria Math" w:hAnsi="Cambria Math" w:cs="Times New Roman"/>
              <w:sz w:val="24"/>
              <w:szCs w:val="24"/>
            </w:rPr>
            <m:t>=0        →      2,247-0,058 credpriv=0</m:t>
          </m:r>
        </m:oMath>
      </m:oMathPara>
    </w:p>
    <w:p w14:paraId="77515030" w14:textId="77777777" w:rsidR="003A1034" w:rsidRDefault="00F93D0E">
      <w:pPr>
        <w:tabs>
          <w:tab w:val="left" w:pos="1134"/>
        </w:tabs>
        <w:jc w:val="both"/>
        <w:rPr>
          <w:rFonts w:ascii="Times New Roman" w:eastAsiaTheme="minorEastAsia" w:hAnsi="Times New Roman" w:cs="Times New Roman"/>
          <w:sz w:val="24"/>
          <w:szCs w:val="24"/>
        </w:rPr>
      </w:pPr>
      <m:oMathPara>
        <m:oMath>
          <m:r>
            <w:rPr>
              <w:rFonts w:ascii="Cambria Math" w:hAnsi="Cambria Math" w:cs="Times New Roman"/>
              <w:sz w:val="24"/>
              <w:szCs w:val="24"/>
            </w:rPr>
            <m:t>0,058 credpriv=2,247</m:t>
          </m:r>
        </m:oMath>
      </m:oMathPara>
    </w:p>
    <w:p w14:paraId="057E3342" w14:textId="77777777" w:rsidR="003A1034" w:rsidRDefault="00F93D0E">
      <w:pPr>
        <w:tabs>
          <w:tab w:val="left" w:pos="1134"/>
        </w:tabs>
        <w:jc w:val="both"/>
        <w:rPr>
          <w:rFonts w:ascii="Times New Roman" w:eastAsiaTheme="minorEastAsia" w:hAnsi="Times New Roman" w:cs="Times New Roman"/>
          <w:sz w:val="24"/>
          <w:szCs w:val="24"/>
        </w:rPr>
      </w:pPr>
      <m:oMathPara>
        <m:oMath>
          <m:r>
            <w:rPr>
              <w:rFonts w:ascii="Cambria Math" w:hAnsi="Cambria Math" w:cs="Times New Roman"/>
              <w:sz w:val="24"/>
              <w:szCs w:val="24"/>
            </w:rPr>
            <m:t>credpriv=</m:t>
          </m:r>
          <m:f>
            <m:fPr>
              <m:ctrlPr>
                <w:rPr>
                  <w:rFonts w:ascii="Cambria Math" w:hAnsi="Cambria Math" w:cs="Times New Roman"/>
                  <w:i/>
                  <w:sz w:val="24"/>
                  <w:szCs w:val="24"/>
                </w:rPr>
              </m:ctrlPr>
            </m:fPr>
            <m:num>
              <m:r>
                <w:rPr>
                  <w:rFonts w:ascii="Cambria Math" w:hAnsi="Cambria Math" w:cs="Times New Roman"/>
                  <w:sz w:val="24"/>
                  <w:szCs w:val="24"/>
                </w:rPr>
                <m:t>2,247</m:t>
              </m:r>
            </m:num>
            <m:den>
              <m:r>
                <w:rPr>
                  <w:rFonts w:ascii="Cambria Math" w:hAnsi="Cambria Math" w:cs="Times New Roman"/>
                  <w:sz w:val="24"/>
                  <w:szCs w:val="24"/>
                </w:rPr>
                <m:t>0,058</m:t>
              </m:r>
            </m:den>
          </m:f>
        </m:oMath>
      </m:oMathPara>
    </w:p>
    <w:p w14:paraId="55811B28" w14:textId="77777777" w:rsidR="003A1034" w:rsidRDefault="00F93D0E">
      <w:pPr>
        <w:tabs>
          <w:tab w:val="left" w:pos="1134"/>
        </w:tabs>
        <w:jc w:val="both"/>
        <w:rPr>
          <w:rFonts w:ascii="Times New Roman" w:hAnsi="Times New Roman" w:cs="Times New Roman"/>
          <w:b/>
          <w:sz w:val="24"/>
          <w:szCs w:val="24"/>
        </w:rPr>
      </w:pPr>
      <m:oMath>
        <m:r>
          <m:rPr>
            <m:sty m:val="bi"/>
          </m:rPr>
          <w:rPr>
            <w:rFonts w:ascii="Cambria Math" w:hAnsi="Cambria Math" w:cs="Times New Roman"/>
            <w:sz w:val="24"/>
            <w:szCs w:val="24"/>
          </w:rPr>
          <m:t>credpriv=38,78%</m:t>
        </m:r>
      </m:oMath>
      <w:r>
        <w:rPr>
          <w:rFonts w:ascii="Times New Roman" w:eastAsiaTheme="minorEastAsia" w:hAnsi="Times New Roman" w:cs="Times New Roman"/>
          <w:b/>
          <w:sz w:val="24"/>
          <w:szCs w:val="24"/>
        </w:rPr>
        <w:t xml:space="preserve"> </w:t>
      </w:r>
    </w:p>
    <w:p w14:paraId="54FB9F80" w14:textId="067221E4" w:rsidR="003A1034" w:rsidRDefault="00F93D0E">
      <w:pPr>
        <w:tabs>
          <w:tab w:val="left" w:pos="2174"/>
        </w:tabs>
        <w:spacing w:line="240" w:lineRule="auto"/>
        <w:jc w:val="both"/>
        <w:rPr>
          <w:rFonts w:ascii="Times New Roman" w:hAnsi="Times New Roman" w:cs="Times New Roman"/>
          <w:sz w:val="24"/>
          <w:szCs w:val="24"/>
        </w:rPr>
      </w:pPr>
      <w:r>
        <w:rPr>
          <w:rFonts w:ascii="Times New Roman" w:hAnsi="Times New Roman" w:cs="Times New Roman"/>
          <w:sz w:val="24"/>
          <w:szCs w:val="24"/>
        </w:rPr>
        <w:t>Le coefficient du développement financier est positif (2</w:t>
      </w:r>
      <w:r w:rsidR="000A5871">
        <w:rPr>
          <w:rFonts w:ascii="Times New Roman" w:hAnsi="Times New Roman" w:cs="Times New Roman"/>
          <w:sz w:val="24"/>
          <w:szCs w:val="24"/>
        </w:rPr>
        <w:t>,</w:t>
      </w:r>
      <w:r>
        <w:rPr>
          <w:rFonts w:ascii="Times New Roman" w:hAnsi="Times New Roman" w:cs="Times New Roman"/>
          <w:sz w:val="24"/>
          <w:szCs w:val="24"/>
        </w:rPr>
        <w:t>247). Cela signifie qu’une augmentation de 1% du crédit accordé au secteur privé entraine une augmentation de 2</w:t>
      </w:r>
      <w:r w:rsidR="000A5871">
        <w:rPr>
          <w:rFonts w:ascii="Times New Roman" w:hAnsi="Times New Roman" w:cs="Times New Roman"/>
          <w:sz w:val="24"/>
          <w:szCs w:val="24"/>
        </w:rPr>
        <w:t>,</w:t>
      </w:r>
      <w:r>
        <w:rPr>
          <w:rFonts w:ascii="Times New Roman" w:hAnsi="Times New Roman" w:cs="Times New Roman"/>
          <w:sz w:val="24"/>
          <w:szCs w:val="24"/>
        </w:rPr>
        <w:t xml:space="preserve">247% de </w:t>
      </w:r>
      <w:r>
        <w:rPr>
          <w:rFonts w:ascii="Times New Roman" w:hAnsi="Times New Roman" w:cs="Times New Roman"/>
          <w:sz w:val="24"/>
        </w:rPr>
        <w:t>taux de croissance du PIB réel par tête</w:t>
      </w:r>
      <w:r>
        <w:rPr>
          <w:rFonts w:ascii="Times New Roman" w:hAnsi="Times New Roman" w:cs="Times New Roman"/>
          <w:sz w:val="24"/>
          <w:szCs w:val="24"/>
        </w:rPr>
        <w:t>. Le coefficient de la forme quadratique du crédit accordé au secteur privé est négatif (-0</w:t>
      </w:r>
      <w:r w:rsidR="000A5871">
        <w:rPr>
          <w:rFonts w:ascii="Times New Roman" w:hAnsi="Times New Roman" w:cs="Times New Roman"/>
          <w:sz w:val="24"/>
          <w:szCs w:val="24"/>
        </w:rPr>
        <w:t>,</w:t>
      </w:r>
      <w:r>
        <w:rPr>
          <w:rFonts w:ascii="Times New Roman" w:hAnsi="Times New Roman" w:cs="Times New Roman"/>
          <w:sz w:val="24"/>
          <w:szCs w:val="24"/>
        </w:rPr>
        <w:t>058). Cela se traduit par le fait qu’une augmentation de 1% du crédit accordé au secteur privé au-delà du seuil (38,78%) se manifeste par une baisse de la croissance économique de 0</w:t>
      </w:r>
      <w:r w:rsidR="000A5871">
        <w:rPr>
          <w:rFonts w:ascii="Times New Roman" w:hAnsi="Times New Roman" w:cs="Times New Roman"/>
          <w:sz w:val="24"/>
          <w:szCs w:val="24"/>
        </w:rPr>
        <w:t>,</w:t>
      </w:r>
      <w:r>
        <w:rPr>
          <w:rFonts w:ascii="Times New Roman" w:hAnsi="Times New Roman" w:cs="Times New Roman"/>
          <w:sz w:val="24"/>
          <w:szCs w:val="24"/>
        </w:rPr>
        <w:t>058 %.</w:t>
      </w:r>
    </w:p>
    <w:p w14:paraId="5422E6C3" w14:textId="6BF7D88C" w:rsidR="003A1034" w:rsidRDefault="00F93D0E">
      <w:pPr>
        <w:autoSpaceDE w:val="0"/>
        <w:autoSpaceDN w:val="0"/>
        <w:adjustRightInd w:val="0"/>
        <w:spacing w:line="240" w:lineRule="auto"/>
        <w:ind w:hanging="1"/>
        <w:jc w:val="both"/>
        <w:rPr>
          <w:rFonts w:ascii="Times New Roman" w:hAnsi="Times New Roman" w:cs="Times New Roman"/>
          <w:sz w:val="24"/>
          <w:szCs w:val="24"/>
        </w:rPr>
      </w:pPr>
      <w:r>
        <w:rPr>
          <w:rFonts w:ascii="Times New Roman" w:hAnsi="Times New Roman" w:cs="Times New Roman"/>
          <w:sz w:val="24"/>
        </w:rPr>
        <w:t xml:space="preserve">L’aide publique rapportée au PIB à une influence positive sur la croissance économique des pays de l’UEMOA de 0, 197. Ce résultat signifie qu’une augmentation de 1% de l’aide publique entraine une augmentation de 0,197 % du taux de croissance du PIB réel par tête. </w:t>
      </w:r>
      <w:r>
        <w:rPr>
          <w:rFonts w:ascii="Times New Roman" w:hAnsi="Times New Roman" w:cs="Times New Roman"/>
          <w:sz w:val="24"/>
          <w:szCs w:val="24"/>
        </w:rPr>
        <w:t xml:space="preserve">Pour des auteurs comme Hansen et </w:t>
      </w:r>
      <w:proofErr w:type="spellStart"/>
      <w:r>
        <w:rPr>
          <w:rFonts w:ascii="Times New Roman" w:hAnsi="Times New Roman" w:cs="Times New Roman"/>
          <w:sz w:val="24"/>
          <w:szCs w:val="24"/>
        </w:rPr>
        <w:t>Tarp</w:t>
      </w:r>
      <w:proofErr w:type="spellEnd"/>
      <w:r>
        <w:rPr>
          <w:rFonts w:ascii="Times New Roman" w:hAnsi="Times New Roman" w:cs="Times New Roman"/>
          <w:sz w:val="24"/>
          <w:szCs w:val="24"/>
        </w:rPr>
        <w:t xml:space="preserve"> (2001) ; </w:t>
      </w:r>
      <w:proofErr w:type="spellStart"/>
      <w:r>
        <w:rPr>
          <w:rFonts w:ascii="Times New Roman" w:hAnsi="Times New Roman" w:cs="Times New Roman"/>
          <w:sz w:val="24"/>
          <w:szCs w:val="24"/>
        </w:rPr>
        <w:t>Lensik</w:t>
      </w:r>
      <w:proofErr w:type="spellEnd"/>
      <w:r>
        <w:rPr>
          <w:rFonts w:ascii="Times New Roman" w:hAnsi="Times New Roman" w:cs="Times New Roman"/>
          <w:sz w:val="24"/>
          <w:szCs w:val="24"/>
        </w:rPr>
        <w:t xml:space="preserve"> et White (2001), </w:t>
      </w:r>
      <w:r>
        <w:rPr>
          <w:rFonts w:ascii="Times New Roman" w:hAnsi="Times New Roman" w:cs="Times New Roman"/>
          <w:sz w:val="24"/>
          <w:szCs w:val="24"/>
          <w:lang w:eastAsia="ko-KR"/>
        </w:rPr>
        <w:t>la relation entre l’aide publique et la croissance économique est généralement positive</w:t>
      </w:r>
      <w:r>
        <w:rPr>
          <w:rFonts w:ascii="Times New Roman" w:hAnsi="Times New Roman" w:cs="Times New Roman"/>
          <w:sz w:val="24"/>
          <w:szCs w:val="24"/>
        </w:rPr>
        <w:t xml:space="preserve">. </w:t>
      </w:r>
      <w:r>
        <w:rPr>
          <w:rFonts w:ascii="Times New Roman" w:hAnsi="Times New Roman" w:cs="Times New Roman"/>
          <w:sz w:val="24"/>
        </w:rPr>
        <w:t>Les dépenses publiques ont un coefficient positif (</w:t>
      </w:r>
      <w:r>
        <w:rPr>
          <w:rFonts w:ascii="Times New Roman" w:hAnsi="Times New Roman" w:cs="Times New Roman"/>
          <w:sz w:val="24"/>
          <w:szCs w:val="24"/>
        </w:rPr>
        <w:t>0</w:t>
      </w:r>
      <w:r w:rsidR="000A5871">
        <w:rPr>
          <w:rFonts w:ascii="Times New Roman" w:hAnsi="Times New Roman" w:cs="Times New Roman"/>
          <w:sz w:val="24"/>
          <w:szCs w:val="24"/>
        </w:rPr>
        <w:t>,</w:t>
      </w:r>
      <w:r>
        <w:rPr>
          <w:rFonts w:ascii="Times New Roman" w:hAnsi="Times New Roman" w:cs="Times New Roman"/>
          <w:sz w:val="24"/>
          <w:szCs w:val="24"/>
        </w:rPr>
        <w:t>165)</w:t>
      </w:r>
      <w:r>
        <w:rPr>
          <w:rFonts w:ascii="Times New Roman" w:hAnsi="Times New Roman" w:cs="Times New Roman"/>
          <w:sz w:val="24"/>
        </w:rPr>
        <w:t xml:space="preserve">. Ce résultat montre qu’une augmentation de 1% des dépenses publiques entraine une hausse de </w:t>
      </w:r>
      <w:r>
        <w:rPr>
          <w:rFonts w:ascii="Times New Roman" w:hAnsi="Times New Roman" w:cs="Times New Roman"/>
          <w:sz w:val="24"/>
          <w:szCs w:val="24"/>
        </w:rPr>
        <w:t>0</w:t>
      </w:r>
      <w:r w:rsidR="000A5871">
        <w:rPr>
          <w:rFonts w:ascii="Times New Roman" w:hAnsi="Times New Roman" w:cs="Times New Roman"/>
          <w:sz w:val="24"/>
          <w:szCs w:val="24"/>
        </w:rPr>
        <w:t>,</w:t>
      </w:r>
      <w:r>
        <w:rPr>
          <w:rFonts w:ascii="Times New Roman" w:hAnsi="Times New Roman" w:cs="Times New Roman"/>
          <w:sz w:val="24"/>
          <w:szCs w:val="24"/>
        </w:rPr>
        <w:t xml:space="preserve">165 % du </w:t>
      </w:r>
      <w:r>
        <w:rPr>
          <w:rFonts w:ascii="Times New Roman" w:hAnsi="Times New Roman" w:cs="Times New Roman"/>
          <w:sz w:val="24"/>
        </w:rPr>
        <w:t>taux de croissance du PIB réel par tête</w:t>
      </w:r>
      <w:r>
        <w:rPr>
          <w:rFonts w:ascii="Times New Roman" w:hAnsi="Times New Roman" w:cs="Times New Roman"/>
          <w:sz w:val="24"/>
          <w:szCs w:val="24"/>
        </w:rPr>
        <w:t xml:space="preserve"> des pays de l’UEMOA, </w:t>
      </w:r>
      <w:proofErr w:type="spellStart"/>
      <w:r>
        <w:rPr>
          <w:rFonts w:ascii="Times New Roman" w:hAnsi="Times New Roman" w:cs="Times New Roman"/>
          <w:sz w:val="24"/>
          <w:szCs w:val="24"/>
        </w:rPr>
        <w:t>ceteris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paribus</w:t>
      </w:r>
      <w:proofErr w:type="spellEnd"/>
      <w:r>
        <w:rPr>
          <w:rFonts w:ascii="Times New Roman" w:hAnsi="Times New Roman" w:cs="Times New Roman"/>
          <w:sz w:val="24"/>
          <w:szCs w:val="24"/>
        </w:rPr>
        <w:t xml:space="preserve">. </w:t>
      </w:r>
    </w:p>
    <w:p w14:paraId="7EC216BF" w14:textId="10F3C928" w:rsidR="00421EBA" w:rsidRDefault="00F93D0E" w:rsidP="00C91747">
      <w:pPr>
        <w:spacing w:line="240" w:lineRule="auto"/>
        <w:jc w:val="both"/>
        <w:rPr>
          <w:rFonts w:ascii="Times New Roman" w:eastAsiaTheme="minorEastAsia" w:hAnsi="Times New Roman" w:cs="Times New Roman"/>
          <w:sz w:val="24"/>
          <w:szCs w:val="24"/>
        </w:rPr>
      </w:pPr>
      <w:r>
        <w:rPr>
          <w:rFonts w:ascii="Times New Roman" w:hAnsi="Times New Roman" w:cs="Times New Roman"/>
          <w:color w:val="222222"/>
          <w:sz w:val="24"/>
        </w:rPr>
        <w:t>La forme quadratique « credpriv2 » qui traduit le carré du développement financier affecte négativement (</w:t>
      </w:r>
      <w:r>
        <w:rPr>
          <w:rFonts w:ascii="Times New Roman" w:hAnsi="Times New Roman" w:cs="Times New Roman"/>
          <w:sz w:val="24"/>
          <w:szCs w:val="24"/>
        </w:rPr>
        <w:t>-0</w:t>
      </w:r>
      <w:r w:rsidR="000A5871">
        <w:rPr>
          <w:rFonts w:ascii="Times New Roman" w:hAnsi="Times New Roman" w:cs="Times New Roman"/>
          <w:sz w:val="24"/>
          <w:szCs w:val="24"/>
        </w:rPr>
        <w:t>,</w:t>
      </w:r>
      <w:r>
        <w:rPr>
          <w:rFonts w:ascii="Times New Roman" w:hAnsi="Times New Roman" w:cs="Times New Roman"/>
          <w:sz w:val="24"/>
          <w:szCs w:val="24"/>
        </w:rPr>
        <w:t xml:space="preserve">058) </w:t>
      </w:r>
      <w:r>
        <w:rPr>
          <w:rFonts w:ascii="Times New Roman" w:hAnsi="Times New Roman" w:cs="Times New Roman"/>
          <w:color w:val="222222"/>
          <w:sz w:val="24"/>
        </w:rPr>
        <w:t xml:space="preserve">la croissance économique. </w:t>
      </w:r>
      <w:r>
        <w:rPr>
          <w:rFonts w:ascii="Times New Roman" w:hAnsi="Times New Roman" w:cs="Times New Roman"/>
          <w:sz w:val="24"/>
          <w:szCs w:val="24"/>
        </w:rPr>
        <w:t xml:space="preserve">Ce seuil met en exergue une relation non linéaire (U renversé) entre le développement financier (crédit au secteur privé rapporté au PIB) et la croissance du PIB réel par tête dans les pays de l’UEMOA. </w:t>
      </w:r>
      <w:r>
        <w:rPr>
          <w:rFonts w:ascii="Times New Roman" w:hAnsi="Times New Roman" w:cs="Times New Roman"/>
          <w:color w:val="222222"/>
          <w:sz w:val="24"/>
          <w:szCs w:val="24"/>
        </w:rPr>
        <w:t xml:space="preserve">Au sein des pays de l’UEMOA, le seuil de rupture de l’impact positif du développement financier sur la croissance économique est d’environ </w:t>
      </w:r>
      <m:oMath>
        <m:r>
          <w:rPr>
            <w:rFonts w:ascii="Cambria Math" w:hAnsi="Cambria Math" w:cs="Times New Roman"/>
            <w:sz w:val="24"/>
            <w:szCs w:val="24"/>
          </w:rPr>
          <m:t>38,78%</m:t>
        </m:r>
      </m:oMath>
      <w:r>
        <w:rPr>
          <w:rFonts w:ascii="Times New Roman" w:eastAsiaTheme="minorEastAsia" w:hAnsi="Times New Roman" w:cs="Times New Roman"/>
          <w:sz w:val="24"/>
          <w:szCs w:val="24"/>
        </w:rPr>
        <w:t xml:space="preserve">. Au-delà de ce seuil, l’impact sur la croissance devient négatif. Il faut noter qu’aucun pays de l’UEMOA n’a atteint ce seuil. Le maximum de l’indicateur du développement financier (crédit accordé au secteur privé sur le PIB) est de 36,15%. Ce maximum est détenu par la Côte d’Ivoire. </w:t>
      </w:r>
      <w:r w:rsidR="007C0F85">
        <w:rPr>
          <w:rFonts w:ascii="Times New Roman" w:eastAsiaTheme="minorEastAsia" w:hAnsi="Times New Roman" w:cs="Times New Roman"/>
          <w:sz w:val="24"/>
          <w:szCs w:val="24"/>
        </w:rPr>
        <w:t>U</w:t>
      </w:r>
      <w:r>
        <w:rPr>
          <w:rFonts w:ascii="Times New Roman" w:eastAsiaTheme="minorEastAsia" w:hAnsi="Times New Roman" w:cs="Times New Roman"/>
          <w:sz w:val="24"/>
          <w:szCs w:val="24"/>
        </w:rPr>
        <w:t>n écart de 2,23% entre le seuil et le niveau maximum du développement financier enregistré dans l’UEMOA</w:t>
      </w:r>
      <w:r w:rsidR="007C0F85">
        <w:rPr>
          <w:rFonts w:ascii="Times New Roman" w:eastAsiaTheme="minorEastAsia" w:hAnsi="Times New Roman" w:cs="Times New Roman"/>
          <w:sz w:val="24"/>
          <w:szCs w:val="24"/>
        </w:rPr>
        <w:t xml:space="preserve"> est constaté</w:t>
      </w:r>
      <w:r>
        <w:rPr>
          <w:rFonts w:ascii="Times New Roman" w:eastAsiaTheme="minorEastAsia" w:hAnsi="Times New Roman" w:cs="Times New Roman"/>
          <w:sz w:val="24"/>
          <w:szCs w:val="24"/>
        </w:rPr>
        <w:t xml:space="preserve">. </w:t>
      </w:r>
    </w:p>
    <w:p w14:paraId="388A48AC" w14:textId="416D11FC" w:rsidR="003948A6" w:rsidRPr="008C1052" w:rsidRDefault="00C91747" w:rsidP="008C1052">
      <w:pPr>
        <w:spacing w:line="240" w:lineRule="auto"/>
        <w:jc w:val="both"/>
        <w:rPr>
          <w:rFonts w:ascii="Times New Roman" w:hAnsi="Times New Roman" w:cs="Times New Roman"/>
          <w:sz w:val="24"/>
          <w:szCs w:val="24"/>
        </w:rPr>
      </w:pPr>
      <w:r w:rsidRPr="00232ACF">
        <w:rPr>
          <w:rFonts w:ascii="Times New Roman" w:hAnsi="Times New Roman" w:cs="Times New Roman"/>
          <w:sz w:val="24"/>
          <w:szCs w:val="24"/>
        </w:rPr>
        <w:t>Les résultats de cette recherche vont dans le même sens que Ro</w:t>
      </w:r>
      <w:r w:rsidRPr="00C91747">
        <w:rPr>
          <w:rFonts w:ascii="Times New Roman" w:hAnsi="Times New Roman" w:cs="Times New Roman"/>
          <w:sz w:val="24"/>
          <w:szCs w:val="24"/>
        </w:rPr>
        <w:t xml:space="preserve">usseau et </w:t>
      </w:r>
      <w:proofErr w:type="spellStart"/>
      <w:r w:rsidRPr="00C91747">
        <w:rPr>
          <w:rFonts w:ascii="Times New Roman" w:hAnsi="Times New Roman" w:cs="Times New Roman"/>
          <w:sz w:val="24"/>
          <w:szCs w:val="24"/>
        </w:rPr>
        <w:t>Wachtel</w:t>
      </w:r>
      <w:proofErr w:type="spellEnd"/>
      <w:r w:rsidRPr="00C91747">
        <w:rPr>
          <w:rFonts w:ascii="Times New Roman" w:hAnsi="Times New Roman" w:cs="Times New Roman"/>
          <w:sz w:val="24"/>
          <w:szCs w:val="24"/>
        </w:rPr>
        <w:t xml:space="preserve"> (2002)</w:t>
      </w:r>
      <w:r w:rsidR="004072AD">
        <w:rPr>
          <w:rFonts w:ascii="Times New Roman" w:hAnsi="Times New Roman" w:cs="Times New Roman"/>
          <w:sz w:val="24"/>
          <w:szCs w:val="24"/>
        </w:rPr>
        <w:t xml:space="preserve"> qui</w:t>
      </w:r>
      <w:r w:rsidRPr="00C91747">
        <w:rPr>
          <w:rFonts w:ascii="Times New Roman" w:hAnsi="Times New Roman" w:cs="Times New Roman"/>
          <w:sz w:val="24"/>
          <w:szCs w:val="24"/>
        </w:rPr>
        <w:t xml:space="preserve"> ont exploré les effets non linéaires du développement financier sur la croissance, apportant des preuves supplémentaires de l'existence de l'effet de seuil. Leur recherche suggère que les pays en développement doivent d'abord établir des institutions financières solides avant de pouvoir bénéficier d'une croissance économique significative. Ils ont constaté que les pays qui n'atteignent pas ce seuil peuvent rester piégés dans une stagnation économique, incapables d'exploiter les avantages d'un secteur financier en croissance.</w:t>
      </w:r>
      <w:r>
        <w:rPr>
          <w:rFonts w:ascii="Times New Roman" w:eastAsiaTheme="minorEastAsia" w:hAnsi="Times New Roman" w:cs="Times New Roman"/>
          <w:sz w:val="24"/>
          <w:szCs w:val="24"/>
        </w:rPr>
        <w:t xml:space="preserve"> Aussi, </w:t>
      </w:r>
      <w:r w:rsidRPr="00C91747">
        <w:rPr>
          <w:rFonts w:ascii="Times New Roman" w:hAnsi="Times New Roman" w:cs="Times New Roman"/>
          <w:sz w:val="24"/>
          <w:szCs w:val="24"/>
        </w:rPr>
        <w:t>Aghion et Howitt (2009) ont élargi la discussion sur l'effet de seuil en intégrant des dimensions telles que l'innovation et le capital humain dans leur analyse de la théorie de la croissance. Ils ont argumenté que le développement financier facilite l'innovation, mais seulement après qu'un certain seuil de développement financier ait été atteint. Cela souligne l'importance d'une approche intégrée, où le développement financier, l'innovation et le capital humain interagissent pour favoriser une croissance économique durable.</w:t>
      </w:r>
      <w:r w:rsidR="008C1052">
        <w:rPr>
          <w:rFonts w:ascii="Times New Roman" w:hAnsi="Times New Roman" w:cs="Times New Roman"/>
          <w:sz w:val="24"/>
          <w:szCs w:val="24"/>
        </w:rPr>
        <w:t xml:space="preserve"> Les résultats trouvés dans cette recherche renforcent les analyse</w:t>
      </w:r>
      <w:r w:rsidR="00D93995">
        <w:rPr>
          <w:rFonts w:ascii="Times New Roman" w:hAnsi="Times New Roman" w:cs="Times New Roman"/>
          <w:sz w:val="24"/>
          <w:szCs w:val="24"/>
        </w:rPr>
        <w:t>s</w:t>
      </w:r>
      <w:r w:rsidR="008C1052">
        <w:rPr>
          <w:rFonts w:ascii="Times New Roman" w:hAnsi="Times New Roman" w:cs="Times New Roman"/>
          <w:sz w:val="24"/>
          <w:szCs w:val="24"/>
        </w:rPr>
        <w:t xml:space="preserve"> de </w:t>
      </w:r>
      <w:proofErr w:type="spellStart"/>
      <w:r w:rsidR="008C1052" w:rsidRPr="00D93995">
        <w:rPr>
          <w:rFonts w:ascii="Times New Roman" w:hAnsi="Times New Roman" w:cs="Times New Roman"/>
          <w:sz w:val="24"/>
          <w:szCs w:val="24"/>
        </w:rPr>
        <w:t>Megnigang</w:t>
      </w:r>
      <w:proofErr w:type="spellEnd"/>
      <w:r w:rsidR="008C1052" w:rsidRPr="00D93995">
        <w:rPr>
          <w:rFonts w:ascii="Times New Roman" w:hAnsi="Times New Roman" w:cs="Times New Roman"/>
          <w:sz w:val="24"/>
          <w:szCs w:val="24"/>
        </w:rPr>
        <w:t xml:space="preserve"> (2021) qui a examiné la relation entre le développement financier et la </w:t>
      </w:r>
      <w:r w:rsidR="008C1052" w:rsidRPr="00D93995">
        <w:rPr>
          <w:rFonts w:ascii="Times New Roman" w:hAnsi="Times New Roman" w:cs="Times New Roman"/>
          <w:sz w:val="24"/>
          <w:szCs w:val="24"/>
        </w:rPr>
        <w:lastRenderedPageBreak/>
        <w:t xml:space="preserve">croissance économique dans </w:t>
      </w:r>
      <w:r w:rsidR="00D93995" w:rsidRPr="00D93995">
        <w:rPr>
          <w:rFonts w:ascii="Times New Roman" w:hAnsi="Times New Roman" w:cs="Times New Roman"/>
          <w:sz w:val="24"/>
          <w:szCs w:val="24"/>
        </w:rPr>
        <w:t>les pays</w:t>
      </w:r>
      <w:r w:rsidR="008C1052" w:rsidRPr="00D93995">
        <w:rPr>
          <w:rFonts w:ascii="Times New Roman" w:hAnsi="Times New Roman" w:cs="Times New Roman"/>
          <w:sz w:val="24"/>
          <w:szCs w:val="24"/>
        </w:rPr>
        <w:t xml:space="preserve"> </w:t>
      </w:r>
      <w:r w:rsidR="00D93995" w:rsidRPr="00D93995">
        <w:rPr>
          <w:rFonts w:ascii="Times New Roman" w:hAnsi="Times New Roman" w:cs="Times New Roman"/>
          <w:sz w:val="24"/>
          <w:szCs w:val="24"/>
        </w:rPr>
        <w:t>de l’</w:t>
      </w:r>
      <w:r w:rsidR="008C1052" w:rsidRPr="00D93995">
        <w:rPr>
          <w:rFonts w:ascii="Times New Roman" w:hAnsi="Times New Roman" w:cs="Times New Roman"/>
          <w:sz w:val="24"/>
          <w:szCs w:val="24"/>
        </w:rPr>
        <w:t xml:space="preserve">Afrique subsaharienne sur la période de 2004 à 2015. Elle utilise une méthodologie basée sur un modèle non-linéaire de croissance, estimé par la méthode des Moments Généralisés en système (GMM). Les résultats de l'étude indiquent une relation non-linéaire en forme </w:t>
      </w:r>
      <w:r w:rsidR="00D93995" w:rsidRPr="00D93995">
        <w:rPr>
          <w:rFonts w:ascii="Times New Roman" w:hAnsi="Times New Roman" w:cs="Times New Roman"/>
          <w:sz w:val="24"/>
          <w:szCs w:val="24"/>
        </w:rPr>
        <w:t>U inversé</w:t>
      </w:r>
      <w:r w:rsidR="008C1052" w:rsidRPr="00D93995">
        <w:rPr>
          <w:rFonts w:ascii="Times New Roman" w:hAnsi="Times New Roman" w:cs="Times New Roman"/>
          <w:sz w:val="24"/>
          <w:szCs w:val="24"/>
        </w:rPr>
        <w:t xml:space="preserve"> entre le développement financier et la croissance du PIB, suggérant qu'un niveau trop élevé de développement financier peut nuire à la croissance économique.</w:t>
      </w:r>
      <w:r w:rsidR="008C1052">
        <w:rPr>
          <w:rFonts w:ascii="Times New Roman" w:hAnsi="Times New Roman" w:cs="Times New Roman"/>
          <w:sz w:val="24"/>
          <w:szCs w:val="24"/>
        </w:rPr>
        <w:t xml:space="preserve"> </w:t>
      </w:r>
      <w:r w:rsidR="008C1052" w:rsidRPr="00D93995">
        <w:rPr>
          <w:rFonts w:ascii="Times New Roman" w:hAnsi="Times New Roman" w:cs="Times New Roman"/>
          <w:sz w:val="24"/>
          <w:szCs w:val="24"/>
        </w:rPr>
        <w:t>Les différents articles contribuent à la compréhension des dynamiques complexes entre</w:t>
      </w:r>
      <w:r w:rsidR="004847D7">
        <w:rPr>
          <w:rFonts w:ascii="Times New Roman" w:hAnsi="Times New Roman" w:cs="Times New Roman"/>
          <w:sz w:val="24"/>
          <w:szCs w:val="24"/>
        </w:rPr>
        <w:t xml:space="preserve"> le</w:t>
      </w:r>
      <w:r w:rsidR="008C1052" w:rsidRPr="00D93995">
        <w:rPr>
          <w:rFonts w:ascii="Times New Roman" w:hAnsi="Times New Roman" w:cs="Times New Roman"/>
          <w:sz w:val="24"/>
          <w:szCs w:val="24"/>
        </w:rPr>
        <w:t xml:space="preserve"> développement financier</w:t>
      </w:r>
      <w:r w:rsidR="004847D7">
        <w:rPr>
          <w:rFonts w:ascii="Times New Roman" w:hAnsi="Times New Roman" w:cs="Times New Roman"/>
          <w:sz w:val="24"/>
          <w:szCs w:val="24"/>
        </w:rPr>
        <w:t xml:space="preserve"> et la </w:t>
      </w:r>
      <w:r w:rsidR="008C1052" w:rsidRPr="00D93995">
        <w:rPr>
          <w:rFonts w:ascii="Times New Roman" w:hAnsi="Times New Roman" w:cs="Times New Roman"/>
          <w:sz w:val="24"/>
          <w:szCs w:val="24"/>
        </w:rPr>
        <w:t>croissance économique, en mettant en lumière les défis spécifiques auxquels sont confrontés les pays en développement.</w:t>
      </w:r>
    </w:p>
    <w:p w14:paraId="2816F299" w14:textId="77E1F394" w:rsidR="00890585" w:rsidRPr="00426F36" w:rsidRDefault="00421EBA" w:rsidP="00D00F90">
      <w:pPr>
        <w:spacing w:line="240" w:lineRule="auto"/>
        <w:jc w:val="both"/>
        <w:rPr>
          <w:rFonts w:ascii="Times New Roman" w:hAnsi="Times New Roman" w:cs="Times New Roman"/>
          <w:sz w:val="24"/>
          <w:szCs w:val="24"/>
        </w:rPr>
      </w:pPr>
      <w:r>
        <w:rPr>
          <w:rFonts w:ascii="Times New Roman" w:hAnsi="Times New Roman" w:cs="Times New Roman"/>
          <w:sz w:val="24"/>
          <w:szCs w:val="24"/>
        </w:rPr>
        <w:t>Aux regards</w:t>
      </w:r>
      <w:r w:rsidR="00C91747">
        <w:rPr>
          <w:rFonts w:ascii="Times New Roman" w:hAnsi="Times New Roman" w:cs="Times New Roman"/>
          <w:sz w:val="24"/>
          <w:szCs w:val="24"/>
        </w:rPr>
        <w:t xml:space="preserve"> de ces résultats, l</w:t>
      </w:r>
      <w:r w:rsidR="00F93D0E" w:rsidRPr="00C91747">
        <w:rPr>
          <w:rFonts w:ascii="Times New Roman" w:hAnsi="Times New Roman" w:cs="Times New Roman"/>
          <w:sz w:val="24"/>
          <w:szCs w:val="24"/>
        </w:rPr>
        <w:t xml:space="preserve">es pays de </w:t>
      </w:r>
      <w:r>
        <w:rPr>
          <w:rFonts w:ascii="Times New Roman" w:hAnsi="Times New Roman" w:cs="Times New Roman"/>
          <w:sz w:val="24"/>
          <w:szCs w:val="24"/>
        </w:rPr>
        <w:t>l’UEMOA</w:t>
      </w:r>
      <w:r w:rsidR="00F93D0E" w:rsidRPr="00C91747">
        <w:rPr>
          <w:rFonts w:ascii="Times New Roman" w:hAnsi="Times New Roman" w:cs="Times New Roman"/>
          <w:sz w:val="24"/>
          <w:szCs w:val="24"/>
        </w:rPr>
        <w:t xml:space="preserve"> devraient </w:t>
      </w:r>
      <w:r w:rsidR="006F3A8F">
        <w:rPr>
          <w:rFonts w:ascii="Times New Roman" w:hAnsi="Times New Roman" w:cs="Times New Roman"/>
          <w:sz w:val="24"/>
          <w:szCs w:val="24"/>
        </w:rPr>
        <w:t xml:space="preserve">augmenter </w:t>
      </w:r>
      <w:r w:rsidR="00EF0A2C" w:rsidRPr="00EF0A2C">
        <w:rPr>
          <w:rFonts w:ascii="Times New Roman" w:hAnsi="Times New Roman" w:cs="Times New Roman"/>
          <w:sz w:val="24"/>
          <w:szCs w:val="24"/>
        </w:rPr>
        <w:t>le crédit bancaire jusqu'à un seuil de 38,</w:t>
      </w:r>
      <w:r w:rsidR="006F3A8F">
        <w:rPr>
          <w:rFonts w:ascii="Times New Roman" w:hAnsi="Times New Roman" w:cs="Times New Roman"/>
          <w:sz w:val="24"/>
          <w:szCs w:val="24"/>
        </w:rPr>
        <w:t>78</w:t>
      </w:r>
      <w:r w:rsidR="00EF0A2C" w:rsidRPr="00EF0A2C">
        <w:rPr>
          <w:rFonts w:ascii="Times New Roman" w:hAnsi="Times New Roman" w:cs="Times New Roman"/>
          <w:sz w:val="24"/>
          <w:szCs w:val="24"/>
        </w:rPr>
        <w:t>%</w:t>
      </w:r>
      <w:r w:rsidR="00F93D0E" w:rsidRPr="00C91747">
        <w:rPr>
          <w:rFonts w:ascii="Times New Roman" w:hAnsi="Times New Roman" w:cs="Times New Roman"/>
          <w:sz w:val="24"/>
          <w:szCs w:val="24"/>
        </w:rPr>
        <w:t xml:space="preserve">. </w:t>
      </w:r>
      <w:r w:rsidR="006F3A8F">
        <w:rPr>
          <w:rFonts w:ascii="Times New Roman" w:hAnsi="Times New Roman" w:cs="Times New Roman"/>
          <w:sz w:val="24"/>
          <w:szCs w:val="24"/>
        </w:rPr>
        <w:t xml:space="preserve">Les </w:t>
      </w:r>
      <w:r w:rsidR="00F93D0E" w:rsidRPr="00C91747">
        <w:rPr>
          <w:rFonts w:ascii="Times New Roman" w:hAnsi="Times New Roman" w:cs="Times New Roman"/>
          <w:sz w:val="24"/>
          <w:szCs w:val="24"/>
        </w:rPr>
        <w:t>résultats montrent qu’il existe un seuil à partir duquel plus de finance n'est certainement pas toujours meilleure car un secteur financier non encadré peut créer une instabilité dans l'économie réelle.</w:t>
      </w:r>
    </w:p>
    <w:p w14:paraId="184D4C47" w14:textId="77777777" w:rsidR="003A1034" w:rsidRDefault="00F93D0E">
      <w:pPr>
        <w:pStyle w:val="NormalWeb"/>
        <w:jc w:val="both"/>
        <w:rPr>
          <w:b/>
          <w:color w:val="000000" w:themeColor="text1"/>
        </w:rPr>
      </w:pPr>
      <w:bookmarkStart w:id="7" w:name="_Toc500706294"/>
      <w:r>
        <w:rPr>
          <w:b/>
          <w:color w:val="000000" w:themeColor="text1"/>
        </w:rPr>
        <w:t xml:space="preserve">Conclusion </w:t>
      </w:r>
      <w:bookmarkEnd w:id="7"/>
    </w:p>
    <w:p w14:paraId="6873EE65" w14:textId="74057096" w:rsidR="003A1034" w:rsidRDefault="00F93D0E">
      <w:pPr>
        <w:spacing w:line="240" w:lineRule="auto"/>
        <w:jc w:val="both"/>
        <w:rPr>
          <w:rFonts w:ascii="Times New Roman" w:hAnsi="Times New Roman" w:cs="Times New Roman"/>
          <w:sz w:val="24"/>
          <w:szCs w:val="24"/>
        </w:rPr>
      </w:pPr>
      <w:r>
        <w:rPr>
          <w:rFonts w:ascii="Times New Roman" w:hAnsi="Times New Roman" w:cs="Times New Roman"/>
          <w:sz w:val="24"/>
          <w:szCs w:val="24"/>
        </w:rPr>
        <w:t>La présente étude avait pour objectif de montrer que la finance favorise la croissance économique surtout dans les pays de l’UEMOA. Aussi, nous avons montré que son impact positif disparaît à partir d’un seuil de développement financier estimé à 38,78% pour les pays de l’UEMOA</w:t>
      </w:r>
      <w:r>
        <w:rPr>
          <w:rFonts w:ascii="Times New Roman" w:hAnsi="Times New Roman" w:cs="Times New Roman"/>
          <w:sz w:val="24"/>
        </w:rPr>
        <w:t>.</w:t>
      </w:r>
      <w:r>
        <w:rPr>
          <w:rFonts w:ascii="Times New Roman" w:hAnsi="Times New Roman" w:cs="Times New Roman"/>
          <w:sz w:val="24"/>
          <w:szCs w:val="24"/>
        </w:rPr>
        <w:t xml:space="preserve"> En utilisant un GMM, les résultats obtenus aux termes des diverses estimations confirment l’importance du rôle que peut jouer l’approfondissement des systèmes financiers au sein des économies en développement comme l’UEMOA.</w:t>
      </w:r>
    </w:p>
    <w:p w14:paraId="428D9825" w14:textId="42D85D53" w:rsidR="003A1034" w:rsidRPr="003C36CF" w:rsidRDefault="00F93D0E" w:rsidP="003C36CF">
      <w:pPr>
        <w:tabs>
          <w:tab w:val="left" w:pos="567"/>
        </w:tabs>
        <w:spacing w:line="240" w:lineRule="auto"/>
        <w:jc w:val="both"/>
        <w:rPr>
          <w:rFonts w:ascii="Times New Roman" w:hAnsi="Times New Roman" w:cs="Times New Roman"/>
          <w:sz w:val="24"/>
          <w:szCs w:val="24"/>
        </w:rPr>
      </w:pPr>
      <w:r w:rsidRPr="003C36CF">
        <w:rPr>
          <w:rFonts w:ascii="Times New Roman" w:hAnsi="Times New Roman" w:cs="Times New Roman"/>
          <w:sz w:val="24"/>
          <w:szCs w:val="24"/>
        </w:rPr>
        <w:t>Les résultats obtenus permettent d’identifier un certain nombre d’implications de politiques économiques.</w:t>
      </w:r>
      <w:r w:rsidR="003C36CF" w:rsidRPr="003C36CF">
        <w:rPr>
          <w:rFonts w:ascii="Times New Roman" w:hAnsi="Times New Roman" w:cs="Times New Roman"/>
          <w:sz w:val="24"/>
          <w:szCs w:val="24"/>
        </w:rPr>
        <w:t xml:space="preserve"> </w:t>
      </w:r>
      <w:r w:rsidR="003C36CF">
        <w:rPr>
          <w:rFonts w:ascii="Times New Roman" w:hAnsi="Times New Roman" w:cs="Times New Roman"/>
          <w:sz w:val="24"/>
          <w:szCs w:val="24"/>
        </w:rPr>
        <w:t>En rappelle</w:t>
      </w:r>
      <w:r w:rsidR="003C36CF" w:rsidRPr="003C36CF">
        <w:rPr>
          <w:rFonts w:ascii="Times New Roman" w:hAnsi="Times New Roman" w:cs="Times New Roman"/>
          <w:sz w:val="24"/>
          <w:szCs w:val="24"/>
        </w:rPr>
        <w:t xml:space="preserve"> aucun pays de l’échantillon mis à part la </w:t>
      </w:r>
      <w:r w:rsidR="003C36CF">
        <w:rPr>
          <w:rFonts w:ascii="Times New Roman" w:hAnsi="Times New Roman" w:cs="Times New Roman"/>
          <w:sz w:val="24"/>
          <w:szCs w:val="24"/>
        </w:rPr>
        <w:t>Côte d’Ivoire</w:t>
      </w:r>
      <w:r w:rsidR="003C36CF" w:rsidRPr="003C36CF">
        <w:rPr>
          <w:rFonts w:ascii="Times New Roman" w:hAnsi="Times New Roman" w:cs="Times New Roman"/>
          <w:sz w:val="24"/>
          <w:szCs w:val="24"/>
        </w:rPr>
        <w:t xml:space="preserve"> n’a atteint le seuil, les mesures visant à accroitre l’offre de crédit ou à simuler la demande de crédit doivent être mis en place par les pays </w:t>
      </w:r>
      <w:r w:rsidRPr="003C36CF">
        <w:rPr>
          <w:rFonts w:ascii="Times New Roman" w:hAnsi="Times New Roman" w:cs="Times New Roman"/>
          <w:sz w:val="24"/>
          <w:szCs w:val="24"/>
        </w:rPr>
        <w:t>Pour bénéficier pleinement du développement financier, il faut mettre en place les fonds de garantie interbancaire pour relever le seuil du crédit bancaire. Ensuite, pour que le développement financier puisse être favorable et stimuler la croissance économique, les gouvernants doivent travailler avec les structures bancaires pour faciliter l’ouverture des lignes de crédits pour faciliter l’accès aux services financiers. Comme l’impact du développement financier est négatif</w:t>
      </w:r>
      <w:r w:rsidR="00EB70B2">
        <w:rPr>
          <w:rFonts w:ascii="Times New Roman" w:hAnsi="Times New Roman" w:cs="Times New Roman"/>
          <w:sz w:val="24"/>
          <w:szCs w:val="24"/>
        </w:rPr>
        <w:t xml:space="preserve"> sur la croissance économ</w:t>
      </w:r>
      <w:r w:rsidR="00386479">
        <w:rPr>
          <w:rFonts w:ascii="Times New Roman" w:hAnsi="Times New Roman" w:cs="Times New Roman"/>
          <w:sz w:val="24"/>
          <w:szCs w:val="24"/>
        </w:rPr>
        <w:t>i</w:t>
      </w:r>
      <w:r w:rsidR="00EB70B2">
        <w:rPr>
          <w:rFonts w:ascii="Times New Roman" w:hAnsi="Times New Roman" w:cs="Times New Roman"/>
          <w:sz w:val="24"/>
          <w:szCs w:val="24"/>
        </w:rPr>
        <w:t>q</w:t>
      </w:r>
      <w:r w:rsidR="00386479">
        <w:rPr>
          <w:rFonts w:ascii="Times New Roman" w:hAnsi="Times New Roman" w:cs="Times New Roman"/>
          <w:sz w:val="24"/>
          <w:szCs w:val="24"/>
        </w:rPr>
        <w:t>ue</w:t>
      </w:r>
      <w:r w:rsidRPr="003C36CF">
        <w:rPr>
          <w:rFonts w:ascii="Times New Roman" w:hAnsi="Times New Roman" w:cs="Times New Roman"/>
          <w:sz w:val="24"/>
          <w:szCs w:val="24"/>
        </w:rPr>
        <w:t xml:space="preserve">, les décideurs doivent tenir compte des risques d’instabilité financière dans la conduite des politiques macroéconomiques. L’instabilité financière est mesurée par rapport au cycle de l’indicateur du développement financier. En conséquence, toute politique visant à promouvoir le développement du secteur financier doit être accompagnée de mesures destinées à stabiliser l’environnement macroéconomique. Il faut alors multiplier les surveillances microprudentielle et macroprudentielle. </w:t>
      </w:r>
    </w:p>
    <w:p w14:paraId="0A320512" w14:textId="29086E84" w:rsidR="003C36CF" w:rsidRDefault="00F93D0E">
      <w:pPr>
        <w:tabs>
          <w:tab w:val="left" w:pos="2174"/>
        </w:tabs>
        <w:spacing w:line="240" w:lineRule="auto"/>
        <w:jc w:val="both"/>
        <w:rPr>
          <w:rFonts w:ascii="Times New Roman" w:hAnsi="Times New Roman" w:cs="Times New Roman"/>
          <w:sz w:val="24"/>
        </w:rPr>
      </w:pPr>
      <w:r>
        <w:rPr>
          <w:rFonts w:ascii="Times New Roman" w:hAnsi="Times New Roman" w:cs="Times New Roman"/>
          <w:sz w:val="24"/>
        </w:rPr>
        <w:t>Cette étude, a cependant connu beaucoup de difficultés</w:t>
      </w:r>
      <w:r w:rsidR="004072AD">
        <w:rPr>
          <w:rFonts w:ascii="Times New Roman" w:hAnsi="Times New Roman" w:cs="Times New Roman"/>
          <w:sz w:val="24"/>
        </w:rPr>
        <w:t>,</w:t>
      </w:r>
      <w:r>
        <w:rPr>
          <w:rFonts w:ascii="Times New Roman" w:hAnsi="Times New Roman" w:cs="Times New Roman"/>
          <w:sz w:val="24"/>
        </w:rPr>
        <w:t xml:space="preserve"> notamment sur la disponibilité des données sur le développement financier. Dans les études à venir, la construction d’un indice regroupant toutes les données possibles sera nécessaire. Cela permettrait d’approfondir les mécanismes à travers lesquels l’approfondissement financier influence la croissance économique. Il convient, par ailleurs, d’aller au-delà de la question des mécanismes de seuil, afin d’explorer les conditions d’optimalité du développement des systèmes financiers de l’Union Économique et Monétaire Ouest Africaine. Aussi, il conviendra d’analyser l’effet conjoint du développement financier et de l’inclusion financière sur la croissance économique des pays de l’UEMOA.</w:t>
      </w:r>
    </w:p>
    <w:p w14:paraId="5DFD86C4" w14:textId="77777777" w:rsidR="003A1034" w:rsidRDefault="00F93D0E">
      <w:pPr>
        <w:pStyle w:val="Titre1"/>
      </w:pPr>
      <w:bookmarkStart w:id="8" w:name="_Toc500706295"/>
      <w:r>
        <w:lastRenderedPageBreak/>
        <w:t>Références bibliographiques</w:t>
      </w:r>
      <w:bookmarkEnd w:id="8"/>
    </w:p>
    <w:p w14:paraId="6227FE0B" w14:textId="77777777" w:rsidR="003A1034" w:rsidRPr="008E58D9" w:rsidRDefault="00F93D0E">
      <w:pPr>
        <w:pStyle w:val="Bibliographie1"/>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rPr>
        <w:fldChar w:fldCharType="begin"/>
      </w:r>
      <w:r w:rsidRPr="008E58D9">
        <w:rPr>
          <w:rFonts w:ascii="Times New Roman" w:hAnsi="Times New Roman" w:cs="Times New Roman"/>
          <w:color w:val="000000" w:themeColor="text1"/>
          <w:sz w:val="24"/>
          <w:szCs w:val="24"/>
        </w:rPr>
        <w:instrText xml:space="preserve"> BIBLIOGRAPHY  \l 1036 </w:instrText>
      </w:r>
      <w:r w:rsidRPr="008E58D9">
        <w:rPr>
          <w:rFonts w:ascii="Times New Roman" w:hAnsi="Times New Roman" w:cs="Times New Roman"/>
          <w:color w:val="000000" w:themeColor="text1"/>
          <w:sz w:val="24"/>
          <w:szCs w:val="24"/>
        </w:rPr>
        <w:fldChar w:fldCharType="separate"/>
      </w:r>
    </w:p>
    <w:p w14:paraId="3349DAF7" w14:textId="49687776" w:rsidR="003A1034" w:rsidRPr="008E58D9"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rPr>
        <w:t xml:space="preserve">Aka, B. E. (2005). </w:t>
      </w:r>
      <w:r w:rsidRPr="008E58D9">
        <w:rPr>
          <w:rFonts w:ascii="Times New Roman" w:hAnsi="Times New Roman" w:cs="Times New Roman"/>
          <w:i/>
          <w:iCs/>
          <w:color w:val="000000" w:themeColor="text1"/>
          <w:sz w:val="24"/>
          <w:szCs w:val="24"/>
        </w:rPr>
        <w:t xml:space="preserve">Le rôle des marchés de capitaux dans la croissance et le développement </w:t>
      </w:r>
      <w:r w:rsidR="004072AD">
        <w:rPr>
          <w:rFonts w:ascii="Times New Roman" w:hAnsi="Times New Roman" w:cs="Times New Roman"/>
          <w:i/>
          <w:iCs/>
          <w:color w:val="000000" w:themeColor="text1"/>
          <w:sz w:val="24"/>
          <w:szCs w:val="24"/>
        </w:rPr>
        <w:t>é</w:t>
      </w:r>
      <w:r w:rsidRPr="008E58D9">
        <w:rPr>
          <w:rFonts w:ascii="Times New Roman" w:hAnsi="Times New Roman" w:cs="Times New Roman"/>
          <w:i/>
          <w:iCs/>
          <w:color w:val="000000" w:themeColor="text1"/>
          <w:sz w:val="24"/>
          <w:szCs w:val="24"/>
        </w:rPr>
        <w:t>conomique.</w:t>
      </w:r>
      <w:r w:rsidRPr="008E58D9">
        <w:rPr>
          <w:rFonts w:ascii="Times New Roman" w:hAnsi="Times New Roman" w:cs="Times New Roman"/>
          <w:color w:val="000000" w:themeColor="text1"/>
          <w:sz w:val="24"/>
          <w:szCs w:val="24"/>
        </w:rPr>
        <w:t xml:space="preserve"> Centre d’Etudes et de Recherches sur le Développement International (CERDI) .</w:t>
      </w:r>
    </w:p>
    <w:p w14:paraId="33620FF2"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rPr>
        <w:t xml:space="preserve">Allegret, J.-P., &amp; Azzabi, S. (2012). </w:t>
      </w:r>
      <w:r w:rsidRPr="008E58D9">
        <w:rPr>
          <w:rFonts w:ascii="Times New Roman" w:hAnsi="Times New Roman" w:cs="Times New Roman"/>
          <w:i/>
          <w:iCs/>
          <w:color w:val="000000" w:themeColor="text1"/>
          <w:sz w:val="24"/>
          <w:szCs w:val="24"/>
        </w:rPr>
        <w:t>Développement financier, croissance de long terme et effets de seuil.</w:t>
      </w:r>
      <w:r w:rsidRPr="008E58D9">
        <w:rPr>
          <w:rFonts w:ascii="Times New Roman" w:hAnsi="Times New Roman" w:cs="Times New Roman"/>
          <w:color w:val="000000" w:themeColor="text1"/>
          <w:sz w:val="24"/>
          <w:szCs w:val="24"/>
        </w:rPr>
        <w:t xml:space="preserve"> </w:t>
      </w:r>
      <w:r w:rsidRPr="008E58D9">
        <w:rPr>
          <w:rFonts w:ascii="Times New Roman" w:hAnsi="Times New Roman" w:cs="Times New Roman"/>
          <w:color w:val="000000" w:themeColor="text1"/>
          <w:sz w:val="24"/>
          <w:szCs w:val="24"/>
          <w:lang w:val="en-US"/>
        </w:rPr>
        <w:t>Panoeconomicus, pp. 553-581.</w:t>
      </w:r>
    </w:p>
    <w:p w14:paraId="540A8510"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Arelano, M., &amp; Bond, S. (1998). </w:t>
      </w:r>
      <w:r w:rsidRPr="008E58D9">
        <w:rPr>
          <w:rFonts w:ascii="Times New Roman" w:hAnsi="Times New Roman" w:cs="Times New Roman"/>
          <w:i/>
          <w:iCs/>
          <w:color w:val="000000" w:themeColor="text1"/>
          <w:sz w:val="24"/>
          <w:szCs w:val="24"/>
          <w:lang w:val="en-US"/>
        </w:rPr>
        <w:t>Dynamic panel data estimating using DPPD.</w:t>
      </w:r>
      <w:r w:rsidRPr="008E58D9">
        <w:rPr>
          <w:rFonts w:ascii="Times New Roman" w:hAnsi="Times New Roman" w:cs="Times New Roman"/>
          <w:color w:val="000000" w:themeColor="text1"/>
          <w:sz w:val="24"/>
          <w:szCs w:val="24"/>
          <w:lang w:val="en-US"/>
        </w:rPr>
        <w:t xml:space="preserve"> A guide for user.</w:t>
      </w:r>
    </w:p>
    <w:p w14:paraId="329FA1F6"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Ardic, O. P., Heimann, M., &amp; Mylenko, N. (2011a). Access to financial services and the financial inclusion agenda around the world : A cross-country analysis with a new data set. The World Bank. https://doi.org/10.1596/1813-9450-5537</w:t>
      </w:r>
    </w:p>
    <w:p w14:paraId="140AF7BE" w14:textId="77777777" w:rsidR="003A1034" w:rsidRPr="00E61B0A"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lang w:val="en-US"/>
        </w:rPr>
        <w:t xml:space="preserve">Armand Gilbert, N., Nguemnang Y. Rodrigue, B., &amp; Fokwa Arsène, M. (2016). </w:t>
      </w:r>
      <w:r w:rsidRPr="00E61B0A">
        <w:rPr>
          <w:rFonts w:ascii="Times New Roman" w:hAnsi="Times New Roman" w:cs="Times New Roman"/>
          <w:color w:val="000000" w:themeColor="text1"/>
          <w:sz w:val="24"/>
          <w:szCs w:val="24"/>
        </w:rPr>
        <w:t>Influence De La Bancarisation Et Du Credit Bancaire Sur La Croissance Economique Dans La Zone Cemac. European Scientific Journal, ESJ, 12(31), 373. https://doi.org/10.19044/esj.2016.v12n31p373</w:t>
      </w:r>
    </w:p>
    <w:p w14:paraId="03CEE5B4"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rPr>
        <w:t xml:space="preserve">Bagehot, W. (1878). </w:t>
      </w:r>
      <w:r w:rsidRPr="008E58D9">
        <w:rPr>
          <w:rFonts w:ascii="Times New Roman" w:hAnsi="Times New Roman" w:cs="Times New Roman"/>
          <w:i/>
          <w:iCs/>
          <w:color w:val="000000" w:themeColor="text1"/>
          <w:sz w:val="24"/>
          <w:szCs w:val="24"/>
          <w:lang w:val="en-US"/>
        </w:rPr>
        <w:t>Lombard Street: a desciption of the money market.</w:t>
      </w:r>
      <w:r w:rsidRPr="008E58D9">
        <w:rPr>
          <w:rFonts w:ascii="Times New Roman" w:hAnsi="Times New Roman" w:cs="Times New Roman"/>
          <w:color w:val="000000" w:themeColor="text1"/>
          <w:sz w:val="24"/>
          <w:szCs w:val="24"/>
          <w:lang w:val="en-US"/>
        </w:rPr>
        <w:t xml:space="preserve"> New York, NY, Kegan Paul.</w:t>
      </w:r>
    </w:p>
    <w:p w14:paraId="334EEE47"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Barra, C., Destefanis, S., &amp; Lavadera, G. L. (2013). </w:t>
      </w:r>
      <w:r w:rsidRPr="008E58D9">
        <w:rPr>
          <w:rFonts w:ascii="Times New Roman" w:hAnsi="Times New Roman" w:cs="Times New Roman"/>
          <w:i/>
          <w:iCs/>
          <w:color w:val="000000" w:themeColor="text1"/>
          <w:sz w:val="24"/>
          <w:szCs w:val="24"/>
          <w:lang w:val="en-US"/>
        </w:rPr>
        <w:t>finance development and economic growth: evidence from highly disaggregated italian data.</w:t>
      </w:r>
      <w:r w:rsidRPr="008E58D9">
        <w:rPr>
          <w:rFonts w:ascii="Times New Roman" w:hAnsi="Times New Roman" w:cs="Times New Roman"/>
          <w:color w:val="000000" w:themeColor="text1"/>
          <w:sz w:val="24"/>
          <w:szCs w:val="24"/>
          <w:lang w:val="en-US"/>
        </w:rPr>
        <w:t xml:space="preserve"> Centre for Studies in Economics and Finance (CSEF).</w:t>
      </w:r>
    </w:p>
    <w:p w14:paraId="7617E2FF"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Barro, R., &amp; Lee, J.-W. (2013). </w:t>
      </w:r>
      <w:r w:rsidRPr="008E58D9">
        <w:rPr>
          <w:rFonts w:ascii="Times New Roman" w:hAnsi="Times New Roman" w:cs="Times New Roman"/>
          <w:i/>
          <w:iCs/>
          <w:color w:val="000000" w:themeColor="text1"/>
          <w:sz w:val="24"/>
          <w:szCs w:val="24"/>
          <w:lang w:val="en-US"/>
        </w:rPr>
        <w:t>A new data set of education attainment in the word,1950-2010.</w:t>
      </w:r>
      <w:r w:rsidRPr="008E58D9">
        <w:rPr>
          <w:rFonts w:ascii="Times New Roman" w:hAnsi="Times New Roman" w:cs="Times New Roman"/>
          <w:color w:val="000000" w:themeColor="text1"/>
          <w:sz w:val="24"/>
          <w:szCs w:val="24"/>
          <w:lang w:val="en-US"/>
        </w:rPr>
        <w:t xml:space="preserve"> journal of development economics 104: 1984-1998.</w:t>
      </w:r>
    </w:p>
    <w:p w14:paraId="0D6C3C3D" w14:textId="77777777" w:rsidR="003A1034" w:rsidRPr="00E61B0A" w:rsidRDefault="00F93D0E" w:rsidP="00C731C9">
      <w:pPr>
        <w:pStyle w:val="Bibliographie1"/>
        <w:ind w:left="720" w:hanging="720"/>
        <w:jc w:val="both"/>
        <w:rPr>
          <w:rFonts w:ascii="Times New Roman" w:hAnsi="Times New Roman" w:cs="Times New Roman"/>
          <w:color w:val="000000" w:themeColor="text1"/>
          <w:sz w:val="24"/>
          <w:szCs w:val="24"/>
        </w:rPr>
      </w:pPr>
      <w:r w:rsidRPr="00C731C9">
        <w:rPr>
          <w:rFonts w:ascii="Times New Roman" w:hAnsi="Times New Roman" w:cs="Times New Roman"/>
          <w:color w:val="000000" w:themeColor="text1"/>
          <w:sz w:val="24"/>
          <w:szCs w:val="24"/>
          <w:lang w:val="en-US"/>
        </w:rPr>
        <w:t xml:space="preserve">Beck, T., Demirgüç-Kunt, A., &amp; Levine, R. (2007). Finance, inequality and the poor. </w:t>
      </w:r>
      <w:r w:rsidRPr="00E61B0A">
        <w:rPr>
          <w:rFonts w:ascii="Times New Roman" w:hAnsi="Times New Roman" w:cs="Times New Roman"/>
          <w:color w:val="000000" w:themeColor="text1"/>
          <w:sz w:val="24"/>
          <w:szCs w:val="24"/>
        </w:rPr>
        <w:t>Journal of Economic Growth, 12(1), 27‑49. https://doi.org/10.1007/s10887-007-9010-6</w:t>
      </w:r>
    </w:p>
    <w:p w14:paraId="0C4F9D58"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rPr>
        <w:t xml:space="preserve">BCEAO. (2006). </w:t>
      </w:r>
      <w:r w:rsidRPr="008E58D9">
        <w:rPr>
          <w:rFonts w:ascii="Times New Roman" w:hAnsi="Times New Roman" w:cs="Times New Roman"/>
          <w:i/>
          <w:iCs/>
          <w:color w:val="000000" w:themeColor="text1"/>
          <w:sz w:val="24"/>
          <w:szCs w:val="24"/>
        </w:rPr>
        <w:t>revue de la stabilité financière dans l'union économique et monétaire ouest africaine .</w:t>
      </w:r>
    </w:p>
    <w:p w14:paraId="655400C0" w14:textId="3819038A" w:rsidR="003A1034" w:rsidRPr="00E61B0A"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lang w:val="en-US"/>
        </w:rPr>
        <w:t xml:space="preserve">Berthelemy, J.-C., &amp; Varoudakis, A. (1996). </w:t>
      </w:r>
      <w:r w:rsidRPr="008E58D9">
        <w:rPr>
          <w:rFonts w:ascii="Times New Roman" w:hAnsi="Times New Roman" w:cs="Times New Roman"/>
          <w:i/>
          <w:iCs/>
          <w:color w:val="000000" w:themeColor="text1"/>
          <w:sz w:val="24"/>
          <w:szCs w:val="24"/>
          <w:lang w:val="en-US"/>
        </w:rPr>
        <w:t>Economic growth, convergence clubs, and the role of financial development.</w:t>
      </w:r>
      <w:r w:rsidRPr="008E58D9">
        <w:rPr>
          <w:rFonts w:ascii="Times New Roman" w:hAnsi="Times New Roman" w:cs="Times New Roman"/>
          <w:color w:val="000000" w:themeColor="text1"/>
          <w:sz w:val="24"/>
          <w:szCs w:val="24"/>
          <w:lang w:val="en-US"/>
        </w:rPr>
        <w:t xml:space="preserve"> </w:t>
      </w:r>
      <w:r w:rsidRPr="00E61B0A">
        <w:rPr>
          <w:rFonts w:ascii="Times New Roman" w:hAnsi="Times New Roman" w:cs="Times New Roman"/>
          <w:color w:val="000000" w:themeColor="text1"/>
          <w:sz w:val="24"/>
          <w:szCs w:val="24"/>
        </w:rPr>
        <w:t xml:space="preserve">Oxford Economic Papers, 48: 300-328. </w:t>
      </w:r>
    </w:p>
    <w:p w14:paraId="39E174C1"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rPr>
        <w:t xml:space="preserve">Berthélemy, J.-C., &amp; Varoudakis, A. (1998). </w:t>
      </w:r>
      <w:r w:rsidRPr="008E58D9">
        <w:rPr>
          <w:rFonts w:ascii="Times New Roman" w:hAnsi="Times New Roman" w:cs="Times New Roman"/>
          <w:i/>
          <w:iCs/>
          <w:color w:val="000000" w:themeColor="text1"/>
          <w:sz w:val="24"/>
          <w:szCs w:val="24"/>
        </w:rPr>
        <w:t>Développement financier, réformes financières et croissance. Une approche en données de panel.</w:t>
      </w:r>
      <w:r w:rsidRPr="008E58D9">
        <w:rPr>
          <w:rFonts w:ascii="Times New Roman" w:hAnsi="Times New Roman" w:cs="Times New Roman"/>
          <w:color w:val="000000" w:themeColor="text1"/>
          <w:sz w:val="24"/>
          <w:szCs w:val="24"/>
        </w:rPr>
        <w:t xml:space="preserve"> Revue économique, 49(1), 195–206.</w:t>
      </w:r>
    </w:p>
    <w:p w14:paraId="1948D0C7"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rPr>
        <w:t xml:space="preserve">Boucher, C., Capelle-Blancard, G., Couppey-Soubeyran, J., &amp; Havrylchy, O. (2012). </w:t>
      </w:r>
      <w:r w:rsidRPr="008E58D9">
        <w:rPr>
          <w:rFonts w:ascii="Times New Roman" w:hAnsi="Times New Roman" w:cs="Times New Roman"/>
          <w:i/>
          <w:iCs/>
          <w:color w:val="000000" w:themeColor="text1"/>
          <w:sz w:val="24"/>
          <w:szCs w:val="24"/>
        </w:rPr>
        <w:t>Quand la ﬁnance ne sert plus la croissance.</w:t>
      </w:r>
      <w:r w:rsidRPr="008E58D9">
        <w:rPr>
          <w:rFonts w:ascii="Times New Roman" w:hAnsi="Times New Roman" w:cs="Times New Roman"/>
          <w:color w:val="000000" w:themeColor="text1"/>
          <w:sz w:val="24"/>
          <w:szCs w:val="24"/>
        </w:rPr>
        <w:t xml:space="preserve"> Éditions La Découverte, collection Repères, Paris, 2012.</w:t>
      </w:r>
    </w:p>
    <w:p w14:paraId="197E32C5"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Cecchetti, S., &amp; Kharroubi, E. (2012). </w:t>
      </w:r>
      <w:r w:rsidRPr="008E58D9">
        <w:rPr>
          <w:rFonts w:ascii="Times New Roman" w:hAnsi="Times New Roman" w:cs="Times New Roman"/>
          <w:i/>
          <w:iCs/>
          <w:color w:val="000000" w:themeColor="text1"/>
          <w:sz w:val="24"/>
          <w:szCs w:val="24"/>
          <w:lang w:val="en-US"/>
        </w:rPr>
        <w:t>Reassessing the Impact of Finance on Growth .</w:t>
      </w:r>
      <w:r w:rsidRPr="008E58D9">
        <w:rPr>
          <w:rFonts w:ascii="Times New Roman" w:hAnsi="Times New Roman" w:cs="Times New Roman"/>
          <w:color w:val="000000" w:themeColor="text1"/>
          <w:sz w:val="24"/>
          <w:szCs w:val="24"/>
          <w:lang w:val="en-US"/>
        </w:rPr>
        <w:t xml:space="preserve"> BIS working paper, n° 381, juillet.</w:t>
      </w:r>
    </w:p>
    <w:p w14:paraId="196E6631"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lastRenderedPageBreak/>
        <w:t xml:space="preserve">César, C., &amp; Lin, L. (2002). </w:t>
      </w:r>
      <w:r w:rsidRPr="008E58D9">
        <w:rPr>
          <w:rFonts w:ascii="Times New Roman" w:hAnsi="Times New Roman" w:cs="Times New Roman"/>
          <w:i/>
          <w:iCs/>
          <w:color w:val="000000" w:themeColor="text1"/>
          <w:sz w:val="24"/>
          <w:szCs w:val="24"/>
          <w:lang w:val="en-US"/>
        </w:rPr>
        <w:t>The direction of causality between financial development and economic growth.</w:t>
      </w:r>
      <w:r w:rsidRPr="008E58D9">
        <w:rPr>
          <w:rFonts w:ascii="Times New Roman" w:hAnsi="Times New Roman" w:cs="Times New Roman"/>
          <w:color w:val="000000" w:themeColor="text1"/>
          <w:sz w:val="24"/>
          <w:szCs w:val="24"/>
          <w:lang w:val="en-US"/>
        </w:rPr>
        <w:t xml:space="preserve"> Journal of Development Economics 72 (2003) 321–334.</w:t>
      </w:r>
    </w:p>
    <w:p w14:paraId="3B53293D" w14:textId="77777777" w:rsidR="003A1034" w:rsidRPr="00C731C9" w:rsidRDefault="00F93D0E" w:rsidP="00C731C9">
      <w:pPr>
        <w:pStyle w:val="Bibliographie1"/>
        <w:ind w:left="720" w:hanging="720"/>
        <w:jc w:val="both"/>
        <w:rPr>
          <w:rFonts w:ascii="Times New Roman" w:hAnsi="Times New Roman" w:cs="Times New Roman"/>
          <w:color w:val="000000" w:themeColor="text1"/>
          <w:sz w:val="24"/>
          <w:szCs w:val="24"/>
          <w:lang w:val="en-US"/>
        </w:rPr>
      </w:pPr>
      <w:r w:rsidRPr="00C731C9">
        <w:rPr>
          <w:rFonts w:ascii="Times New Roman" w:hAnsi="Times New Roman" w:cs="Times New Roman"/>
          <w:color w:val="000000" w:themeColor="text1"/>
          <w:sz w:val="24"/>
          <w:szCs w:val="24"/>
          <w:lang w:val="en-US"/>
        </w:rPr>
        <w:t>Emara, N., &amp; El Said, A. (2021). Financial inclusion and economic growth : The role of governance in selected MENA countries. International Review of Economics &amp; Finance, 75, 34‑54. https://doi.org/10.1016/j.iref.2021.03.014</w:t>
      </w:r>
    </w:p>
    <w:p w14:paraId="0061CEEC"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Demetriades, P., &amp; Law, S. H. (2004). </w:t>
      </w:r>
      <w:r w:rsidRPr="008E58D9">
        <w:rPr>
          <w:rFonts w:ascii="Times New Roman" w:hAnsi="Times New Roman" w:cs="Times New Roman"/>
          <w:i/>
          <w:iCs/>
          <w:color w:val="000000" w:themeColor="text1"/>
          <w:sz w:val="24"/>
          <w:szCs w:val="24"/>
          <w:lang w:val="en-US"/>
        </w:rPr>
        <w:t>finance, institutions and economic growth.</w:t>
      </w:r>
      <w:r w:rsidRPr="008E58D9">
        <w:rPr>
          <w:rFonts w:ascii="Times New Roman" w:hAnsi="Times New Roman" w:cs="Times New Roman"/>
          <w:color w:val="000000" w:themeColor="text1"/>
          <w:sz w:val="24"/>
          <w:szCs w:val="24"/>
          <w:lang w:val="en-US"/>
        </w:rPr>
        <w:t xml:space="preserve"> University of Leicester department of economics working Paper 04/5.</w:t>
      </w:r>
    </w:p>
    <w:p w14:paraId="434BEB55"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Diamond, D. W., &amp; Dybvig, P. H. (1983). </w:t>
      </w:r>
      <w:r w:rsidRPr="008E58D9">
        <w:rPr>
          <w:rFonts w:ascii="Times New Roman" w:hAnsi="Times New Roman" w:cs="Times New Roman"/>
          <w:i/>
          <w:iCs/>
          <w:color w:val="000000" w:themeColor="text1"/>
          <w:sz w:val="24"/>
          <w:szCs w:val="24"/>
          <w:lang w:val="en-US"/>
        </w:rPr>
        <w:t>Bank Runs, Deposit Insurance, and Liquidity.</w:t>
      </w:r>
      <w:r w:rsidRPr="008E58D9">
        <w:rPr>
          <w:rFonts w:ascii="Times New Roman" w:hAnsi="Times New Roman" w:cs="Times New Roman"/>
          <w:color w:val="000000" w:themeColor="text1"/>
          <w:sz w:val="24"/>
          <w:szCs w:val="24"/>
          <w:lang w:val="en-US"/>
        </w:rPr>
        <w:t xml:space="preserve"> The Journal of Political Economy, Vol. 91, No. 3. (Jun., 1983), pp. 401-419.</w:t>
      </w:r>
    </w:p>
    <w:p w14:paraId="528FED2D"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Fung, M. (2009). </w:t>
      </w:r>
      <w:r w:rsidRPr="008E58D9">
        <w:rPr>
          <w:rFonts w:ascii="Times New Roman" w:hAnsi="Times New Roman" w:cs="Times New Roman"/>
          <w:i/>
          <w:iCs/>
          <w:color w:val="000000" w:themeColor="text1"/>
          <w:sz w:val="24"/>
          <w:szCs w:val="24"/>
          <w:lang w:val="en-US"/>
        </w:rPr>
        <w:t>Financial development and economic growth: convergence or divergence?</w:t>
      </w:r>
      <w:r w:rsidRPr="008E58D9">
        <w:rPr>
          <w:rFonts w:ascii="Times New Roman" w:hAnsi="Times New Roman" w:cs="Times New Roman"/>
          <w:color w:val="000000" w:themeColor="text1"/>
          <w:sz w:val="24"/>
          <w:szCs w:val="24"/>
          <w:lang w:val="en-US"/>
        </w:rPr>
        <w:t xml:space="preserve"> Journal of International Money and Finance, 28: 56–67.</w:t>
      </w:r>
    </w:p>
    <w:p w14:paraId="768AC2A4"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Goldsmith, R. (1969). </w:t>
      </w:r>
      <w:r w:rsidRPr="008E58D9">
        <w:rPr>
          <w:rFonts w:ascii="Times New Roman" w:hAnsi="Times New Roman" w:cs="Times New Roman"/>
          <w:i/>
          <w:iCs/>
          <w:color w:val="000000" w:themeColor="text1"/>
          <w:sz w:val="24"/>
          <w:szCs w:val="24"/>
          <w:lang w:val="en-US"/>
        </w:rPr>
        <w:t>Financial Structure and Development.</w:t>
      </w:r>
      <w:r w:rsidRPr="008E58D9">
        <w:rPr>
          <w:rFonts w:ascii="Times New Roman" w:hAnsi="Times New Roman" w:cs="Times New Roman"/>
          <w:color w:val="000000" w:themeColor="text1"/>
          <w:sz w:val="24"/>
          <w:szCs w:val="24"/>
          <w:lang w:val="en-US"/>
        </w:rPr>
        <w:t xml:space="preserve"> New Haven: Yale University Press.</w:t>
      </w:r>
    </w:p>
    <w:p w14:paraId="445A11FA"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Gurley, J. G., &amp; Shaw, E. S. (1995). </w:t>
      </w:r>
      <w:r w:rsidRPr="008E58D9">
        <w:rPr>
          <w:rFonts w:ascii="Times New Roman" w:hAnsi="Times New Roman" w:cs="Times New Roman"/>
          <w:i/>
          <w:iCs/>
          <w:color w:val="000000" w:themeColor="text1"/>
          <w:sz w:val="24"/>
          <w:szCs w:val="24"/>
          <w:lang w:val="en-US"/>
        </w:rPr>
        <w:t>Financial aspects of economic development .</w:t>
      </w:r>
      <w:r w:rsidRPr="008E58D9">
        <w:rPr>
          <w:rFonts w:ascii="Times New Roman" w:hAnsi="Times New Roman" w:cs="Times New Roman"/>
          <w:color w:val="000000" w:themeColor="text1"/>
          <w:sz w:val="24"/>
          <w:szCs w:val="24"/>
          <w:lang w:val="en-US"/>
        </w:rPr>
        <w:t xml:space="preserve"> American Economic Review 45, 515-538.</w:t>
      </w:r>
    </w:p>
    <w:p w14:paraId="4E707C29"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Hansen, H., &amp; Tarp, F. (2001). </w:t>
      </w:r>
      <w:r w:rsidRPr="008E58D9">
        <w:rPr>
          <w:rFonts w:ascii="Times New Roman" w:hAnsi="Times New Roman" w:cs="Times New Roman"/>
          <w:i/>
          <w:iCs/>
          <w:color w:val="000000" w:themeColor="text1"/>
          <w:sz w:val="24"/>
          <w:szCs w:val="24"/>
          <w:lang w:val="en-US"/>
        </w:rPr>
        <w:t>Aid and growth regressions.</w:t>
      </w:r>
      <w:r w:rsidRPr="008E58D9">
        <w:rPr>
          <w:rFonts w:ascii="Times New Roman" w:hAnsi="Times New Roman" w:cs="Times New Roman"/>
          <w:color w:val="000000" w:themeColor="text1"/>
          <w:sz w:val="24"/>
          <w:szCs w:val="24"/>
          <w:lang w:val="en-US"/>
        </w:rPr>
        <w:t xml:space="preserve"> Journal of Development Economics, 64, pp 547-570.</w:t>
      </w:r>
    </w:p>
    <w:p w14:paraId="4C5810A7"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Jalilian, H., &amp; Kirkpatrick, C. (2001). </w:t>
      </w:r>
      <w:r w:rsidRPr="008E58D9">
        <w:rPr>
          <w:rFonts w:ascii="Times New Roman" w:hAnsi="Times New Roman" w:cs="Times New Roman"/>
          <w:i/>
          <w:iCs/>
          <w:color w:val="000000" w:themeColor="text1"/>
          <w:sz w:val="24"/>
          <w:szCs w:val="24"/>
          <w:lang w:val="en-US"/>
        </w:rPr>
        <w:t>Financial Development and Poverty Reduction in Developing Countries .</w:t>
      </w:r>
      <w:r w:rsidRPr="008E58D9">
        <w:rPr>
          <w:rFonts w:ascii="Times New Roman" w:hAnsi="Times New Roman" w:cs="Times New Roman"/>
          <w:color w:val="000000" w:themeColor="text1"/>
          <w:sz w:val="24"/>
          <w:szCs w:val="24"/>
          <w:lang w:val="en-US"/>
        </w:rPr>
        <w:t xml:space="preserve"> International Journal of Finance and Economics, 7(2), 97-108.</w:t>
      </w:r>
    </w:p>
    <w:p w14:paraId="6983B5C0"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lang w:val="en-US"/>
        </w:rPr>
        <w:t xml:space="preserve">Jeanneney, S. G., &amp; Kpodar, K. (2006). </w:t>
      </w:r>
      <w:r w:rsidRPr="008E58D9">
        <w:rPr>
          <w:rFonts w:ascii="Times New Roman" w:hAnsi="Times New Roman" w:cs="Times New Roman"/>
          <w:i/>
          <w:iCs/>
          <w:color w:val="000000" w:themeColor="text1"/>
          <w:sz w:val="24"/>
          <w:szCs w:val="24"/>
        </w:rPr>
        <w:t>Développement financier, instabilité financière et croissance économique.</w:t>
      </w:r>
      <w:r w:rsidRPr="008E58D9">
        <w:rPr>
          <w:rFonts w:ascii="Times New Roman" w:hAnsi="Times New Roman" w:cs="Times New Roman"/>
          <w:color w:val="000000" w:themeColor="text1"/>
          <w:sz w:val="24"/>
          <w:szCs w:val="24"/>
        </w:rPr>
        <w:t xml:space="preserve"> Economie &amp; prévision 2006/3(n°174), p. 87-111.</w:t>
      </w:r>
    </w:p>
    <w:p w14:paraId="7CE073D8"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rPr>
        <w:t xml:space="preserve">Jeanneney, S. G., &amp; Kpodar, K. R. (2005). </w:t>
      </w:r>
      <w:r w:rsidRPr="008E58D9">
        <w:rPr>
          <w:rFonts w:ascii="Times New Roman" w:hAnsi="Times New Roman" w:cs="Times New Roman"/>
          <w:i/>
          <w:iCs/>
          <w:color w:val="000000" w:themeColor="text1"/>
          <w:sz w:val="24"/>
          <w:szCs w:val="24"/>
          <w:lang w:val="en-US"/>
        </w:rPr>
        <w:t>Financial Development, Financial Instability and Poverty.</w:t>
      </w:r>
      <w:r w:rsidRPr="008E58D9">
        <w:rPr>
          <w:rFonts w:ascii="Times New Roman" w:hAnsi="Times New Roman" w:cs="Times New Roman"/>
          <w:color w:val="000000" w:themeColor="text1"/>
          <w:sz w:val="24"/>
          <w:szCs w:val="24"/>
          <w:lang w:val="en-US"/>
        </w:rPr>
        <w:t xml:space="preserve"> CSAE Working Papers, 09.</w:t>
      </w:r>
    </w:p>
    <w:p w14:paraId="41A92C68" w14:textId="53CBF3C2" w:rsidR="003A1034" w:rsidRPr="00C731C9" w:rsidRDefault="00F93D0E" w:rsidP="00C731C9">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Keho, Y. (2010). </w:t>
      </w:r>
      <w:r w:rsidRPr="008E58D9">
        <w:rPr>
          <w:rFonts w:ascii="Times New Roman" w:hAnsi="Times New Roman" w:cs="Times New Roman"/>
          <w:i/>
          <w:iCs/>
          <w:color w:val="000000" w:themeColor="text1"/>
          <w:sz w:val="24"/>
          <w:szCs w:val="24"/>
          <w:lang w:val="en-US"/>
        </w:rPr>
        <w:t>Effect of Financial Development on Economic Growth : Does Inflation Matter ? Time Series Evidence from the UEMOA Countries.</w:t>
      </w:r>
      <w:r w:rsidRPr="008E58D9">
        <w:rPr>
          <w:rFonts w:ascii="Times New Roman" w:hAnsi="Times New Roman" w:cs="Times New Roman"/>
          <w:color w:val="000000" w:themeColor="text1"/>
          <w:sz w:val="24"/>
          <w:szCs w:val="24"/>
          <w:lang w:val="en-US"/>
        </w:rPr>
        <w:t xml:space="preserve"> International Economic Journal, 24(3), 343–355.</w:t>
      </w:r>
    </w:p>
    <w:p w14:paraId="12197A89"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rPr>
        <w:t xml:space="preserve">Kiendrébeogo, Y. (2010). </w:t>
      </w:r>
      <w:r w:rsidRPr="008E58D9">
        <w:rPr>
          <w:rFonts w:ascii="Times New Roman" w:hAnsi="Times New Roman" w:cs="Times New Roman"/>
          <w:i/>
          <w:iCs/>
          <w:color w:val="000000" w:themeColor="text1"/>
          <w:sz w:val="24"/>
          <w:szCs w:val="24"/>
        </w:rPr>
        <w:t>Développement Financier et Pauvreté Dans L’UEMOA .</w:t>
      </w:r>
      <w:r w:rsidRPr="008E58D9">
        <w:rPr>
          <w:rFonts w:ascii="Times New Roman" w:hAnsi="Times New Roman" w:cs="Times New Roman"/>
          <w:color w:val="000000" w:themeColor="text1"/>
          <w:sz w:val="24"/>
          <w:szCs w:val="24"/>
        </w:rPr>
        <w:t xml:space="preserve"> Université de Montesquieu-Bordeaux IV.</w:t>
      </w:r>
    </w:p>
    <w:p w14:paraId="767E8AB2"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rPr>
        <w:t xml:space="preserve">Kpodar, K. (2004). </w:t>
      </w:r>
      <w:r w:rsidRPr="008E58D9">
        <w:rPr>
          <w:rFonts w:ascii="Times New Roman" w:hAnsi="Times New Roman" w:cs="Times New Roman"/>
          <w:i/>
          <w:iCs/>
          <w:color w:val="000000" w:themeColor="text1"/>
          <w:sz w:val="24"/>
          <w:szCs w:val="24"/>
        </w:rPr>
        <w:t>Le développement financier et la problématique de réduction de la pauvreté.</w:t>
      </w:r>
      <w:r w:rsidRPr="008E58D9">
        <w:rPr>
          <w:rFonts w:ascii="Times New Roman" w:hAnsi="Times New Roman" w:cs="Times New Roman"/>
          <w:color w:val="000000" w:themeColor="text1"/>
          <w:sz w:val="24"/>
          <w:szCs w:val="24"/>
        </w:rPr>
        <w:t xml:space="preserve"> </w:t>
      </w:r>
      <w:r w:rsidRPr="008E58D9">
        <w:rPr>
          <w:rFonts w:ascii="Times New Roman" w:hAnsi="Times New Roman" w:cs="Times New Roman"/>
          <w:color w:val="000000" w:themeColor="text1"/>
          <w:sz w:val="24"/>
          <w:szCs w:val="24"/>
          <w:lang w:val="en-US"/>
        </w:rPr>
        <w:t>CERDI, Université d'Auvergne.</w:t>
      </w:r>
    </w:p>
    <w:p w14:paraId="6F9BBFF4"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Kuznets, S. (1971). </w:t>
      </w:r>
      <w:r w:rsidRPr="008E58D9">
        <w:rPr>
          <w:rFonts w:ascii="Times New Roman" w:hAnsi="Times New Roman" w:cs="Times New Roman"/>
          <w:i/>
          <w:iCs/>
          <w:color w:val="000000" w:themeColor="text1"/>
          <w:sz w:val="24"/>
          <w:szCs w:val="24"/>
          <w:lang w:val="en-US"/>
        </w:rPr>
        <w:t>Economic growth of nations : total output and production structure.</w:t>
      </w:r>
      <w:r w:rsidRPr="008E58D9">
        <w:rPr>
          <w:rFonts w:ascii="Times New Roman" w:hAnsi="Times New Roman" w:cs="Times New Roman"/>
          <w:color w:val="000000" w:themeColor="text1"/>
          <w:sz w:val="24"/>
          <w:szCs w:val="24"/>
          <w:lang w:val="en-US"/>
        </w:rPr>
        <w:t xml:space="preserve"> Belknap Press of Harvard University Press, 363 p.</w:t>
      </w:r>
    </w:p>
    <w:p w14:paraId="451FE60E"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Lensik, R., &amp; White, H. (2001). </w:t>
      </w:r>
      <w:r w:rsidRPr="008E58D9">
        <w:rPr>
          <w:rFonts w:ascii="Times New Roman" w:hAnsi="Times New Roman" w:cs="Times New Roman"/>
          <w:i/>
          <w:iCs/>
          <w:color w:val="000000" w:themeColor="text1"/>
          <w:sz w:val="24"/>
          <w:szCs w:val="24"/>
          <w:lang w:val="en-US"/>
        </w:rPr>
        <w:t>Are There Negative Returns to Aid? .</w:t>
      </w:r>
      <w:r w:rsidRPr="008E58D9">
        <w:rPr>
          <w:rFonts w:ascii="Times New Roman" w:hAnsi="Times New Roman" w:cs="Times New Roman"/>
          <w:color w:val="000000" w:themeColor="text1"/>
          <w:sz w:val="24"/>
          <w:szCs w:val="24"/>
          <w:lang w:val="en-US"/>
        </w:rPr>
        <w:t xml:space="preserve"> Journal of Development Studies, 37 (6), pp 42–65.</w:t>
      </w:r>
    </w:p>
    <w:p w14:paraId="73C98F02"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lastRenderedPageBreak/>
        <w:t xml:space="preserve">Levine, R. (1997). </w:t>
      </w:r>
      <w:r w:rsidRPr="008E58D9">
        <w:rPr>
          <w:rFonts w:ascii="Times New Roman" w:hAnsi="Times New Roman" w:cs="Times New Roman"/>
          <w:i/>
          <w:iCs/>
          <w:color w:val="000000" w:themeColor="text1"/>
          <w:sz w:val="24"/>
          <w:szCs w:val="24"/>
          <w:lang w:val="en-US"/>
        </w:rPr>
        <w:t>financial development and economic growth: views and agenda .</w:t>
      </w:r>
      <w:r w:rsidRPr="008E58D9">
        <w:rPr>
          <w:rFonts w:ascii="Times New Roman" w:hAnsi="Times New Roman" w:cs="Times New Roman"/>
          <w:color w:val="000000" w:themeColor="text1"/>
          <w:sz w:val="24"/>
          <w:szCs w:val="24"/>
          <w:lang w:val="en-US"/>
        </w:rPr>
        <w:t xml:space="preserve"> Journal of economic literature 35 (2), 688-726.</w:t>
      </w:r>
    </w:p>
    <w:p w14:paraId="16803D76"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Levine, R. (2000). </w:t>
      </w:r>
      <w:r w:rsidRPr="008E58D9">
        <w:rPr>
          <w:rFonts w:ascii="Times New Roman" w:hAnsi="Times New Roman" w:cs="Times New Roman"/>
          <w:i/>
          <w:iCs/>
          <w:color w:val="000000" w:themeColor="text1"/>
          <w:sz w:val="24"/>
          <w:szCs w:val="24"/>
          <w:lang w:val="en-US"/>
        </w:rPr>
        <w:t>International financial liberalization and economic growth.</w:t>
      </w:r>
      <w:r w:rsidRPr="008E58D9">
        <w:rPr>
          <w:rFonts w:ascii="Times New Roman" w:hAnsi="Times New Roman" w:cs="Times New Roman"/>
          <w:color w:val="000000" w:themeColor="text1"/>
          <w:sz w:val="24"/>
          <w:szCs w:val="24"/>
          <w:lang w:val="en-US"/>
        </w:rPr>
        <w:t xml:space="preserve"> review of international economics, 9:4, 688-702.</w:t>
      </w:r>
    </w:p>
    <w:p w14:paraId="50C2838D"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Levine, R. (2005). </w:t>
      </w:r>
      <w:r w:rsidRPr="008E58D9">
        <w:rPr>
          <w:rFonts w:ascii="Times New Roman" w:hAnsi="Times New Roman" w:cs="Times New Roman"/>
          <w:i/>
          <w:iCs/>
          <w:color w:val="000000" w:themeColor="text1"/>
          <w:sz w:val="24"/>
          <w:szCs w:val="24"/>
          <w:lang w:val="en-US"/>
        </w:rPr>
        <w:t>Finance and Growth: theory and evidence.</w:t>
      </w:r>
      <w:r w:rsidRPr="008E58D9">
        <w:rPr>
          <w:rFonts w:ascii="Times New Roman" w:hAnsi="Times New Roman" w:cs="Times New Roman"/>
          <w:color w:val="000000" w:themeColor="text1"/>
          <w:sz w:val="24"/>
          <w:szCs w:val="24"/>
          <w:lang w:val="en-US"/>
        </w:rPr>
        <w:t xml:space="preserve"> in Aghion &amp; Durlauf (dir), Handbook of Economic Growth, Elsevier.</w:t>
      </w:r>
    </w:p>
    <w:p w14:paraId="513D8E17"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Levine, R., &amp; Renelt, D. (1992). </w:t>
      </w:r>
      <w:r w:rsidRPr="008E58D9">
        <w:rPr>
          <w:rFonts w:ascii="Times New Roman" w:hAnsi="Times New Roman" w:cs="Times New Roman"/>
          <w:i/>
          <w:iCs/>
          <w:color w:val="000000" w:themeColor="text1"/>
          <w:sz w:val="24"/>
          <w:szCs w:val="24"/>
          <w:lang w:val="en-US"/>
        </w:rPr>
        <w:t>A sensitivity analysis of cross country growth regressions .</w:t>
      </w:r>
      <w:r w:rsidRPr="008E58D9">
        <w:rPr>
          <w:rFonts w:ascii="Times New Roman" w:hAnsi="Times New Roman" w:cs="Times New Roman"/>
          <w:color w:val="000000" w:themeColor="text1"/>
          <w:sz w:val="24"/>
          <w:szCs w:val="24"/>
          <w:lang w:val="en-US"/>
        </w:rPr>
        <w:t xml:space="preserve"> American Economic Review, 82(4), 942–963.</w:t>
      </w:r>
    </w:p>
    <w:p w14:paraId="4180E857"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Lucas, R. E. (1988). </w:t>
      </w:r>
      <w:r w:rsidRPr="008E58D9">
        <w:rPr>
          <w:rFonts w:ascii="Times New Roman" w:hAnsi="Times New Roman" w:cs="Times New Roman"/>
          <w:i/>
          <w:iCs/>
          <w:color w:val="000000" w:themeColor="text1"/>
          <w:sz w:val="24"/>
          <w:szCs w:val="24"/>
          <w:lang w:val="en-US"/>
        </w:rPr>
        <w:t>on the mechanics of economics developpement.</w:t>
      </w:r>
      <w:r w:rsidRPr="008E58D9">
        <w:rPr>
          <w:rFonts w:ascii="Times New Roman" w:hAnsi="Times New Roman" w:cs="Times New Roman"/>
          <w:color w:val="000000" w:themeColor="text1"/>
          <w:sz w:val="24"/>
          <w:szCs w:val="24"/>
          <w:lang w:val="en-US"/>
        </w:rPr>
        <w:t xml:space="preserve"> journal of moneatry economics,Vol. 22, n°1,p.3-42.</w:t>
      </w:r>
    </w:p>
    <w:p w14:paraId="095E1F3C" w14:textId="545789D3" w:rsidR="003A1034"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McKinnon, R. (1973). </w:t>
      </w:r>
      <w:r w:rsidRPr="008E58D9">
        <w:rPr>
          <w:rFonts w:ascii="Times New Roman" w:hAnsi="Times New Roman" w:cs="Times New Roman"/>
          <w:i/>
          <w:iCs/>
          <w:color w:val="000000" w:themeColor="text1"/>
          <w:sz w:val="24"/>
          <w:szCs w:val="24"/>
          <w:lang w:val="en-US"/>
        </w:rPr>
        <w:t>Money and capital in economic development.</w:t>
      </w:r>
      <w:r w:rsidRPr="008E58D9">
        <w:rPr>
          <w:rFonts w:ascii="Times New Roman" w:hAnsi="Times New Roman" w:cs="Times New Roman"/>
          <w:color w:val="000000" w:themeColor="text1"/>
          <w:sz w:val="24"/>
          <w:szCs w:val="24"/>
          <w:lang w:val="en-US"/>
        </w:rPr>
        <w:t xml:space="preserve"> Brookings Institution, Washington, DC.</w:t>
      </w:r>
    </w:p>
    <w:p w14:paraId="3D4F485B" w14:textId="18E5E63E" w:rsidR="0070127F" w:rsidRPr="0070127F" w:rsidRDefault="0070127F" w:rsidP="0070127F">
      <w:pPr>
        <w:pStyle w:val="Bibliographie1"/>
        <w:spacing w:line="240" w:lineRule="auto"/>
        <w:ind w:left="720" w:hanging="720"/>
        <w:jc w:val="both"/>
        <w:rPr>
          <w:rFonts w:ascii="Times New Roman" w:hAnsi="Times New Roman" w:cs="Times New Roman"/>
          <w:color w:val="000000" w:themeColor="text1"/>
          <w:sz w:val="24"/>
          <w:szCs w:val="24"/>
          <w:lang w:val="en-US"/>
        </w:rPr>
      </w:pPr>
      <w:r w:rsidRPr="0070127F">
        <w:rPr>
          <w:rFonts w:ascii="Times New Roman" w:hAnsi="Times New Roman" w:cs="Times New Roman"/>
          <w:color w:val="000000" w:themeColor="text1"/>
          <w:sz w:val="24"/>
          <w:szCs w:val="24"/>
          <w:lang w:val="en-US"/>
        </w:rPr>
        <w:t>Megnigang, D</w:t>
      </w:r>
      <w:r>
        <w:rPr>
          <w:rFonts w:ascii="Times New Roman" w:hAnsi="Times New Roman" w:cs="Times New Roman"/>
          <w:color w:val="000000" w:themeColor="text1"/>
          <w:sz w:val="24"/>
          <w:szCs w:val="24"/>
          <w:lang w:val="en-US"/>
        </w:rPr>
        <w:t>.</w:t>
      </w:r>
      <w:r w:rsidRPr="0070127F">
        <w:rPr>
          <w:rFonts w:ascii="Times New Roman" w:hAnsi="Times New Roman" w:cs="Times New Roman"/>
          <w:color w:val="000000" w:themeColor="text1"/>
          <w:sz w:val="24"/>
          <w:szCs w:val="24"/>
          <w:lang w:val="en-US"/>
        </w:rPr>
        <w:t>G</w:t>
      </w:r>
      <w:r>
        <w:rPr>
          <w:rFonts w:ascii="Times New Roman" w:hAnsi="Times New Roman" w:cs="Times New Roman"/>
          <w:color w:val="000000" w:themeColor="text1"/>
          <w:sz w:val="24"/>
          <w:szCs w:val="24"/>
          <w:lang w:val="en-US"/>
        </w:rPr>
        <w:t xml:space="preserve">. </w:t>
      </w:r>
      <w:r w:rsidRPr="0070127F">
        <w:rPr>
          <w:rFonts w:ascii="Times New Roman" w:hAnsi="Times New Roman" w:cs="Times New Roman"/>
          <w:color w:val="000000" w:themeColor="text1"/>
          <w:sz w:val="24"/>
          <w:szCs w:val="24"/>
          <w:lang w:val="en-US"/>
        </w:rPr>
        <w:t xml:space="preserve">(2021). </w:t>
      </w:r>
      <w:r w:rsidRPr="00E61B0A">
        <w:rPr>
          <w:rFonts w:ascii="Times New Roman" w:hAnsi="Times New Roman" w:cs="Times New Roman"/>
          <w:color w:val="000000" w:themeColor="text1"/>
          <w:sz w:val="24"/>
          <w:szCs w:val="24"/>
        </w:rPr>
        <w:t>"</w:t>
      </w:r>
      <w:r w:rsidRPr="00E61B0A">
        <w:rPr>
          <w:rFonts w:ascii="Times New Roman" w:hAnsi="Times New Roman" w:cs="Times New Roman"/>
          <w:i/>
          <w:color w:val="000000" w:themeColor="text1"/>
          <w:sz w:val="24"/>
          <w:szCs w:val="24"/>
        </w:rPr>
        <w:t>Développement du système financier et croissance économique</w:t>
      </w:r>
      <w:r w:rsidRPr="00E61B0A">
        <w:rPr>
          <w:rFonts w:ascii="Times New Roman" w:hAnsi="Times New Roman" w:cs="Times New Roman"/>
          <w:color w:val="000000" w:themeColor="text1"/>
          <w:sz w:val="24"/>
          <w:szCs w:val="24"/>
        </w:rPr>
        <w:t xml:space="preserve">." </w:t>
      </w:r>
      <w:r w:rsidRPr="0070127F">
        <w:rPr>
          <w:rFonts w:ascii="Times New Roman" w:hAnsi="Times New Roman" w:cs="Times New Roman"/>
          <w:color w:val="000000" w:themeColor="text1"/>
          <w:sz w:val="24"/>
          <w:szCs w:val="24"/>
          <w:lang w:val="en-US"/>
        </w:rPr>
        <w:t>Journal of Academic</w:t>
      </w:r>
      <w:r>
        <w:rPr>
          <w:rFonts w:ascii="Times New Roman" w:hAnsi="Times New Roman" w:cs="Times New Roman"/>
          <w:color w:val="000000" w:themeColor="text1"/>
          <w:sz w:val="24"/>
          <w:szCs w:val="24"/>
          <w:lang w:val="en-US"/>
        </w:rPr>
        <w:t xml:space="preserve"> </w:t>
      </w:r>
      <w:r w:rsidRPr="0070127F">
        <w:rPr>
          <w:rFonts w:ascii="Times New Roman" w:hAnsi="Times New Roman" w:cs="Times New Roman"/>
          <w:color w:val="000000" w:themeColor="text1"/>
          <w:sz w:val="24"/>
          <w:szCs w:val="24"/>
          <w:lang w:val="en-US"/>
        </w:rPr>
        <w:t xml:space="preserve">Finance 12, no. 2: 50–72. </w:t>
      </w:r>
    </w:p>
    <w:p w14:paraId="7AE0FB2A"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lang w:val="en-US"/>
        </w:rPr>
        <w:t xml:space="preserve">Meisel, N., &amp; Mvogo, J.-P. (2007). </w:t>
      </w:r>
      <w:r w:rsidRPr="008E58D9">
        <w:rPr>
          <w:rFonts w:ascii="Times New Roman" w:hAnsi="Times New Roman" w:cs="Times New Roman"/>
          <w:i/>
          <w:iCs/>
          <w:color w:val="000000" w:themeColor="text1"/>
          <w:sz w:val="24"/>
          <w:szCs w:val="24"/>
        </w:rPr>
        <w:t>Quelles politiques de développement financier en zone franc ?</w:t>
      </w:r>
      <w:r w:rsidRPr="008E58D9">
        <w:rPr>
          <w:rFonts w:ascii="Times New Roman" w:hAnsi="Times New Roman" w:cs="Times New Roman"/>
          <w:color w:val="000000" w:themeColor="text1"/>
          <w:sz w:val="24"/>
          <w:szCs w:val="24"/>
        </w:rPr>
        <w:t xml:space="preserve"> Working Paper, Paris, Agence Française de Développement.</w:t>
      </w:r>
    </w:p>
    <w:p w14:paraId="24106735"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rPr>
        <w:t xml:space="preserve">Merton, R. C. (1992). </w:t>
      </w:r>
      <w:r w:rsidRPr="008E58D9">
        <w:rPr>
          <w:rFonts w:ascii="Times New Roman" w:hAnsi="Times New Roman" w:cs="Times New Roman"/>
          <w:i/>
          <w:iCs/>
          <w:color w:val="000000" w:themeColor="text1"/>
          <w:sz w:val="24"/>
          <w:szCs w:val="24"/>
          <w:lang w:val="en-US"/>
        </w:rPr>
        <w:t>Financial Innovation and Economic Performance.</w:t>
      </w:r>
      <w:r w:rsidRPr="008E58D9">
        <w:rPr>
          <w:rFonts w:ascii="Times New Roman" w:hAnsi="Times New Roman" w:cs="Times New Roman"/>
          <w:color w:val="000000" w:themeColor="text1"/>
          <w:sz w:val="24"/>
          <w:szCs w:val="24"/>
          <w:lang w:val="en-US"/>
        </w:rPr>
        <w:t xml:space="preserve"> Journal Applied Corporate Finance. Winter, Vol. 4 n°4,p. 12-22.</w:t>
      </w:r>
    </w:p>
    <w:p w14:paraId="245413ED"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Mills, P., &amp; Quinet, A. (1992). </w:t>
      </w:r>
      <w:r w:rsidRPr="008E58D9">
        <w:rPr>
          <w:rFonts w:ascii="Times New Roman" w:hAnsi="Times New Roman" w:cs="Times New Roman"/>
          <w:i/>
          <w:iCs/>
          <w:color w:val="000000" w:themeColor="text1"/>
          <w:sz w:val="24"/>
          <w:szCs w:val="24"/>
        </w:rPr>
        <w:t>Depense publique et croissance.</w:t>
      </w:r>
      <w:r w:rsidRPr="008E58D9">
        <w:rPr>
          <w:rFonts w:ascii="Times New Roman" w:hAnsi="Times New Roman" w:cs="Times New Roman"/>
          <w:color w:val="000000" w:themeColor="text1"/>
          <w:sz w:val="24"/>
          <w:szCs w:val="24"/>
        </w:rPr>
        <w:t xml:space="preserve"> Revue française d'économie. </w:t>
      </w:r>
      <w:r w:rsidRPr="008E58D9">
        <w:rPr>
          <w:rFonts w:ascii="Times New Roman" w:hAnsi="Times New Roman" w:cs="Times New Roman"/>
          <w:color w:val="000000" w:themeColor="text1"/>
          <w:sz w:val="24"/>
          <w:szCs w:val="24"/>
          <w:lang w:val="en-US"/>
        </w:rPr>
        <w:t>Volume 7 N°3, 1992. pp. 29-60.</w:t>
      </w:r>
    </w:p>
    <w:p w14:paraId="488D435D"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North, D. C. (1981). </w:t>
      </w:r>
      <w:r w:rsidRPr="008E58D9">
        <w:rPr>
          <w:rFonts w:ascii="Times New Roman" w:hAnsi="Times New Roman" w:cs="Times New Roman"/>
          <w:i/>
          <w:iCs/>
          <w:color w:val="000000" w:themeColor="text1"/>
          <w:sz w:val="24"/>
          <w:szCs w:val="24"/>
          <w:lang w:val="en-US"/>
        </w:rPr>
        <w:t>Structure and Change in Economic History.</w:t>
      </w:r>
      <w:r w:rsidRPr="008E58D9">
        <w:rPr>
          <w:rFonts w:ascii="Times New Roman" w:hAnsi="Times New Roman" w:cs="Times New Roman"/>
          <w:color w:val="000000" w:themeColor="text1"/>
          <w:sz w:val="24"/>
          <w:szCs w:val="24"/>
          <w:lang w:val="en-US"/>
        </w:rPr>
        <w:t xml:space="preserve"> New York: Norton.</w:t>
      </w:r>
    </w:p>
    <w:p w14:paraId="6E5E1F93"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lang w:val="en-US"/>
        </w:rPr>
        <w:t xml:space="preserve">North, D. C. (1990). </w:t>
      </w:r>
      <w:r w:rsidRPr="008E58D9">
        <w:rPr>
          <w:rFonts w:ascii="Times New Roman" w:hAnsi="Times New Roman" w:cs="Times New Roman"/>
          <w:i/>
          <w:iCs/>
          <w:color w:val="000000" w:themeColor="text1"/>
          <w:sz w:val="24"/>
          <w:szCs w:val="24"/>
          <w:lang w:val="en-US"/>
        </w:rPr>
        <w:t>institutions, institutional change, and economic performance. .</w:t>
      </w:r>
      <w:r w:rsidRPr="008E58D9">
        <w:rPr>
          <w:rFonts w:ascii="Times New Roman" w:hAnsi="Times New Roman" w:cs="Times New Roman"/>
          <w:color w:val="000000" w:themeColor="text1"/>
          <w:sz w:val="24"/>
          <w:szCs w:val="24"/>
          <w:lang w:val="en-US"/>
        </w:rPr>
        <w:t xml:space="preserve"> </w:t>
      </w:r>
      <w:r w:rsidRPr="008E58D9">
        <w:rPr>
          <w:rFonts w:ascii="Times New Roman" w:hAnsi="Times New Roman" w:cs="Times New Roman"/>
          <w:color w:val="000000" w:themeColor="text1"/>
          <w:sz w:val="24"/>
          <w:szCs w:val="24"/>
        </w:rPr>
        <w:t>Cambridge University Press. .</w:t>
      </w:r>
    </w:p>
    <w:p w14:paraId="2BEE2D9C"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rPr>
        <w:t xml:space="preserve">Ouédraogo, S. (2011). </w:t>
      </w:r>
      <w:r w:rsidRPr="008E58D9">
        <w:rPr>
          <w:rFonts w:ascii="Times New Roman" w:hAnsi="Times New Roman" w:cs="Times New Roman"/>
          <w:i/>
          <w:iCs/>
          <w:color w:val="000000" w:themeColor="text1"/>
          <w:sz w:val="24"/>
          <w:szCs w:val="24"/>
        </w:rPr>
        <w:t xml:space="preserve">Banque et Transmission Monetaire dans l’UEMOA: Effets des bilans bancaires, de la concentration bancaire et de l’excès de liquidité bancaire sur l’efficacité de la politique monétaire de la BCEAO. </w:t>
      </w:r>
      <w:r w:rsidRPr="008E58D9">
        <w:rPr>
          <w:rFonts w:ascii="Times New Roman" w:hAnsi="Times New Roman" w:cs="Times New Roman"/>
          <w:color w:val="000000" w:themeColor="text1"/>
          <w:sz w:val="24"/>
          <w:szCs w:val="24"/>
        </w:rPr>
        <w:t>Thèse de Doctorat, Centre d’Études et de Recherches sur le Développement International.</w:t>
      </w:r>
    </w:p>
    <w:p w14:paraId="6B588007"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rPr>
        <w:t xml:space="preserve">Ouédraogo, S. (2011). </w:t>
      </w:r>
      <w:r w:rsidRPr="008E58D9">
        <w:rPr>
          <w:rFonts w:ascii="Times New Roman" w:hAnsi="Times New Roman" w:cs="Times New Roman"/>
          <w:i/>
          <w:iCs/>
          <w:color w:val="000000" w:themeColor="text1"/>
          <w:sz w:val="24"/>
          <w:szCs w:val="24"/>
        </w:rPr>
        <w:t>Concentration Bancaire, Profitabilité et Développement Financier Bancaires dans L’UEMOA. Revue économique de la BCEAO</w:t>
      </w:r>
    </w:p>
    <w:p w14:paraId="3D347BE3"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rPr>
        <w:t xml:space="preserve">Pagano, M. (1993). </w:t>
      </w:r>
      <w:r w:rsidRPr="008E58D9">
        <w:rPr>
          <w:rFonts w:ascii="Times New Roman" w:hAnsi="Times New Roman" w:cs="Times New Roman"/>
          <w:i/>
          <w:iCs/>
          <w:color w:val="000000" w:themeColor="text1"/>
          <w:sz w:val="24"/>
          <w:szCs w:val="24"/>
        </w:rPr>
        <w:t>Financial markets and growth.</w:t>
      </w:r>
      <w:r w:rsidRPr="008E58D9">
        <w:rPr>
          <w:rFonts w:ascii="Times New Roman" w:hAnsi="Times New Roman" w:cs="Times New Roman"/>
          <w:color w:val="000000" w:themeColor="text1"/>
          <w:sz w:val="24"/>
          <w:szCs w:val="24"/>
        </w:rPr>
        <w:t xml:space="preserve"> </w:t>
      </w:r>
      <w:r w:rsidRPr="008E58D9">
        <w:rPr>
          <w:rFonts w:ascii="Times New Roman" w:hAnsi="Times New Roman" w:cs="Times New Roman"/>
          <w:color w:val="000000" w:themeColor="text1"/>
          <w:sz w:val="24"/>
          <w:szCs w:val="24"/>
          <w:lang w:val="en-US"/>
        </w:rPr>
        <w:t>European Economic Review 37 (1993) 613-622. North-Holland.</w:t>
      </w:r>
    </w:p>
    <w:p w14:paraId="21818A4F"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Patrick, H. T. (1966). </w:t>
      </w:r>
      <w:r w:rsidRPr="008E58D9">
        <w:rPr>
          <w:rFonts w:ascii="Times New Roman" w:hAnsi="Times New Roman" w:cs="Times New Roman"/>
          <w:i/>
          <w:iCs/>
          <w:color w:val="000000" w:themeColor="text1"/>
          <w:sz w:val="24"/>
          <w:szCs w:val="24"/>
          <w:lang w:val="en-US"/>
        </w:rPr>
        <w:t>Financial development and economic growth in underdeveloped countries. .</w:t>
      </w:r>
      <w:r w:rsidRPr="008E58D9">
        <w:rPr>
          <w:rFonts w:ascii="Times New Roman" w:hAnsi="Times New Roman" w:cs="Times New Roman"/>
          <w:color w:val="000000" w:themeColor="text1"/>
          <w:sz w:val="24"/>
          <w:szCs w:val="24"/>
          <w:lang w:val="en-US"/>
        </w:rPr>
        <w:t xml:space="preserve"> Economics Development and cultural Change, Yale University. pp. 174-189.</w:t>
      </w:r>
    </w:p>
    <w:p w14:paraId="01A3C02F"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lang w:val="en-US"/>
        </w:rPr>
        <w:lastRenderedPageBreak/>
        <w:t xml:space="preserve">Perroux, F. (1964). </w:t>
      </w:r>
      <w:r w:rsidRPr="008E58D9">
        <w:rPr>
          <w:rFonts w:ascii="Times New Roman" w:hAnsi="Times New Roman" w:cs="Times New Roman"/>
          <w:i/>
          <w:iCs/>
          <w:color w:val="000000" w:themeColor="text1"/>
          <w:sz w:val="24"/>
          <w:szCs w:val="24"/>
        </w:rPr>
        <w:t>L'économie du XXème siècle.</w:t>
      </w:r>
      <w:r w:rsidRPr="008E58D9">
        <w:rPr>
          <w:rFonts w:ascii="Times New Roman" w:hAnsi="Times New Roman" w:cs="Times New Roman"/>
          <w:color w:val="000000" w:themeColor="text1"/>
          <w:sz w:val="24"/>
          <w:szCs w:val="24"/>
        </w:rPr>
        <w:t xml:space="preserve"> PUF, 2e édition, 692p.</w:t>
      </w:r>
    </w:p>
    <w:p w14:paraId="0210897E"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rPr>
        <w:t xml:space="preserve">PNUD. (2011). </w:t>
      </w:r>
      <w:r w:rsidRPr="008E58D9">
        <w:rPr>
          <w:rFonts w:ascii="Times New Roman" w:hAnsi="Times New Roman" w:cs="Times New Roman"/>
          <w:i/>
          <w:iCs/>
          <w:color w:val="000000" w:themeColor="text1"/>
          <w:sz w:val="24"/>
          <w:szCs w:val="24"/>
        </w:rPr>
        <w:t>Rapport sur les statistiques du développement humain.</w:t>
      </w:r>
    </w:p>
    <w:p w14:paraId="4F776603"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rPr>
        <w:t xml:space="preserve">Pollin, J.-P., &amp; Jacquet, P. (2007). </w:t>
      </w:r>
      <w:r w:rsidRPr="008E58D9">
        <w:rPr>
          <w:rFonts w:ascii="Times New Roman" w:hAnsi="Times New Roman" w:cs="Times New Roman"/>
          <w:i/>
          <w:iCs/>
          <w:color w:val="000000" w:themeColor="text1"/>
          <w:sz w:val="24"/>
          <w:szCs w:val="24"/>
        </w:rPr>
        <w:t>Systèmes financiers et croissance.</w:t>
      </w:r>
      <w:r w:rsidRPr="008E58D9">
        <w:rPr>
          <w:rFonts w:ascii="Times New Roman" w:hAnsi="Times New Roman" w:cs="Times New Roman"/>
          <w:color w:val="000000" w:themeColor="text1"/>
          <w:sz w:val="24"/>
          <w:szCs w:val="24"/>
        </w:rPr>
        <w:t xml:space="preserve"> Document de recherche, Laboratoire d’économie d’Orleans (LEO). .</w:t>
      </w:r>
    </w:p>
    <w:p w14:paraId="3291721E"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R.G.King, &amp; Levine, R. (1993a). </w:t>
      </w:r>
      <w:r w:rsidRPr="008E58D9">
        <w:rPr>
          <w:rFonts w:ascii="Times New Roman" w:hAnsi="Times New Roman" w:cs="Times New Roman"/>
          <w:i/>
          <w:iCs/>
          <w:color w:val="000000" w:themeColor="text1"/>
          <w:sz w:val="24"/>
          <w:szCs w:val="24"/>
          <w:lang w:val="en-US"/>
        </w:rPr>
        <w:t>finance and growth: Schumpeter might be right.</w:t>
      </w:r>
      <w:r w:rsidRPr="008E58D9">
        <w:rPr>
          <w:rFonts w:ascii="Times New Roman" w:hAnsi="Times New Roman" w:cs="Times New Roman"/>
          <w:color w:val="000000" w:themeColor="text1"/>
          <w:sz w:val="24"/>
          <w:szCs w:val="24"/>
          <w:lang w:val="en-US"/>
        </w:rPr>
        <w:t xml:space="preserve"> The quarterly journal of economics, 108(3), 717-737.</w:t>
      </w:r>
    </w:p>
    <w:p w14:paraId="10D3BF25"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Rati, R. (1999). </w:t>
      </w:r>
      <w:r w:rsidRPr="008E58D9">
        <w:rPr>
          <w:rFonts w:ascii="Times New Roman" w:hAnsi="Times New Roman" w:cs="Times New Roman"/>
          <w:i/>
          <w:iCs/>
          <w:color w:val="000000" w:themeColor="text1"/>
          <w:sz w:val="24"/>
          <w:szCs w:val="24"/>
          <w:lang w:val="en-US"/>
        </w:rPr>
        <w:t>Financial development and economic growth: additional evidence.</w:t>
      </w:r>
      <w:r w:rsidRPr="008E58D9">
        <w:rPr>
          <w:rFonts w:ascii="Times New Roman" w:hAnsi="Times New Roman" w:cs="Times New Roman"/>
          <w:color w:val="000000" w:themeColor="text1"/>
          <w:sz w:val="24"/>
          <w:szCs w:val="24"/>
          <w:lang w:val="en-US"/>
        </w:rPr>
        <w:t xml:space="preserve"> Journal of Development Studies, 35(4): 164-174.</w:t>
      </w:r>
    </w:p>
    <w:p w14:paraId="2658A48B" w14:textId="493F735B"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Ricardo, D. (1817). </w:t>
      </w:r>
      <w:r w:rsidRPr="008E58D9">
        <w:rPr>
          <w:rFonts w:ascii="Times New Roman" w:hAnsi="Times New Roman" w:cs="Times New Roman"/>
          <w:i/>
          <w:iCs/>
          <w:color w:val="000000" w:themeColor="text1"/>
          <w:sz w:val="24"/>
          <w:szCs w:val="24"/>
          <w:lang w:val="en-US"/>
        </w:rPr>
        <w:t>On thepPrinciples of political economy and taxation.</w:t>
      </w:r>
    </w:p>
    <w:p w14:paraId="31AD2185"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lang w:val="en-US"/>
        </w:rPr>
        <w:t xml:space="preserve">Robinson, J. (1952). </w:t>
      </w:r>
      <w:r w:rsidRPr="008E58D9">
        <w:rPr>
          <w:rFonts w:ascii="Times New Roman" w:hAnsi="Times New Roman" w:cs="Times New Roman"/>
          <w:i/>
          <w:iCs/>
          <w:color w:val="000000" w:themeColor="text1"/>
          <w:sz w:val="24"/>
          <w:szCs w:val="24"/>
          <w:lang w:val="en-US"/>
        </w:rPr>
        <w:t>The Rate of Interest and Other Essays .</w:t>
      </w:r>
      <w:r w:rsidRPr="008E58D9">
        <w:rPr>
          <w:rFonts w:ascii="Times New Roman" w:hAnsi="Times New Roman" w:cs="Times New Roman"/>
          <w:color w:val="000000" w:themeColor="text1"/>
          <w:sz w:val="24"/>
          <w:szCs w:val="24"/>
          <w:lang w:val="en-US"/>
        </w:rPr>
        <w:t xml:space="preserve"> </w:t>
      </w:r>
      <w:r w:rsidRPr="008E58D9">
        <w:rPr>
          <w:rFonts w:ascii="Times New Roman" w:hAnsi="Times New Roman" w:cs="Times New Roman"/>
          <w:color w:val="000000" w:themeColor="text1"/>
          <w:sz w:val="24"/>
          <w:szCs w:val="24"/>
        </w:rPr>
        <w:t>MacMillan, Londres.</w:t>
      </w:r>
    </w:p>
    <w:p w14:paraId="59EBA78F" w14:textId="77777777" w:rsidR="003A1034" w:rsidRPr="00C731C9" w:rsidRDefault="00F93D0E" w:rsidP="00C731C9">
      <w:pPr>
        <w:pStyle w:val="Bibliographie1"/>
        <w:ind w:left="720" w:hanging="720"/>
        <w:jc w:val="both"/>
        <w:rPr>
          <w:rFonts w:ascii="Times New Roman" w:hAnsi="Times New Roman" w:cs="Times New Roman"/>
          <w:color w:val="000000" w:themeColor="text1"/>
          <w:sz w:val="24"/>
          <w:szCs w:val="24"/>
        </w:rPr>
      </w:pPr>
      <w:r w:rsidRPr="00C731C9">
        <w:rPr>
          <w:rFonts w:ascii="Times New Roman" w:hAnsi="Times New Roman" w:cs="Times New Roman"/>
          <w:color w:val="000000" w:themeColor="text1"/>
          <w:sz w:val="24"/>
          <w:szCs w:val="24"/>
        </w:rPr>
        <w:t>Salé, F., &amp; Chok, F. A. (2022). Développement financier et croissance économique dans la région MENA : Une approche en données de panel, SEKALI, J. 1 et LAKHLOUFI, T.2. 4(2).</w:t>
      </w:r>
    </w:p>
    <w:p w14:paraId="4087F449"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Schumpeter, J. (1911). </w:t>
      </w:r>
      <w:r w:rsidRPr="008E58D9">
        <w:rPr>
          <w:rFonts w:ascii="Times New Roman" w:hAnsi="Times New Roman" w:cs="Times New Roman"/>
          <w:i/>
          <w:iCs/>
          <w:color w:val="000000" w:themeColor="text1"/>
          <w:sz w:val="24"/>
          <w:szCs w:val="24"/>
          <w:lang w:val="en-US"/>
        </w:rPr>
        <w:t>The theory of ceonomic development.</w:t>
      </w:r>
      <w:r w:rsidRPr="008E58D9">
        <w:rPr>
          <w:rFonts w:ascii="Times New Roman" w:hAnsi="Times New Roman" w:cs="Times New Roman"/>
          <w:color w:val="000000" w:themeColor="text1"/>
          <w:sz w:val="24"/>
          <w:szCs w:val="24"/>
          <w:lang w:val="en-US"/>
        </w:rPr>
        <w:t xml:space="preserve"> Cambridge, MA: Havard Université Press.</w:t>
      </w:r>
    </w:p>
    <w:p w14:paraId="3AB37E78"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lang w:val="en-US"/>
        </w:rPr>
        <w:t xml:space="preserve">Shaw, S. E. (1973). </w:t>
      </w:r>
      <w:r w:rsidRPr="008E58D9">
        <w:rPr>
          <w:rFonts w:ascii="Times New Roman" w:hAnsi="Times New Roman" w:cs="Times New Roman"/>
          <w:i/>
          <w:iCs/>
          <w:color w:val="000000" w:themeColor="text1"/>
          <w:sz w:val="24"/>
          <w:szCs w:val="24"/>
          <w:lang w:val="en-US"/>
        </w:rPr>
        <w:t>Financial Deepening in Economic Development.</w:t>
      </w:r>
      <w:r w:rsidRPr="008E58D9">
        <w:rPr>
          <w:rFonts w:ascii="Times New Roman" w:hAnsi="Times New Roman" w:cs="Times New Roman"/>
          <w:color w:val="000000" w:themeColor="text1"/>
          <w:sz w:val="24"/>
          <w:szCs w:val="24"/>
          <w:lang w:val="en-US"/>
        </w:rPr>
        <w:t xml:space="preserve"> </w:t>
      </w:r>
      <w:r w:rsidRPr="008E58D9">
        <w:rPr>
          <w:rFonts w:ascii="Times New Roman" w:hAnsi="Times New Roman" w:cs="Times New Roman"/>
          <w:color w:val="000000" w:themeColor="text1"/>
          <w:sz w:val="24"/>
          <w:szCs w:val="24"/>
        </w:rPr>
        <w:t>Oxford University Press.</w:t>
      </w:r>
    </w:p>
    <w:p w14:paraId="1307954B"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rPr>
        <w:t xml:space="preserve">Tavéra, C. (1990). </w:t>
      </w:r>
      <w:r w:rsidRPr="008E58D9">
        <w:rPr>
          <w:rFonts w:ascii="Times New Roman" w:hAnsi="Times New Roman" w:cs="Times New Roman"/>
          <w:i/>
          <w:iCs/>
          <w:color w:val="000000" w:themeColor="text1"/>
          <w:sz w:val="24"/>
          <w:szCs w:val="24"/>
        </w:rPr>
        <w:t>Causalité et Cointégration : le cas des cours mondiaux des produits du soja.</w:t>
      </w:r>
      <w:r w:rsidRPr="008E58D9">
        <w:rPr>
          <w:rFonts w:ascii="Times New Roman" w:hAnsi="Times New Roman" w:cs="Times New Roman"/>
          <w:color w:val="000000" w:themeColor="text1"/>
          <w:sz w:val="24"/>
          <w:szCs w:val="24"/>
        </w:rPr>
        <w:t xml:space="preserve"> INRA Centre de Rennes.</w:t>
      </w:r>
    </w:p>
    <w:p w14:paraId="24F70D9A"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rPr>
      </w:pPr>
      <w:r w:rsidRPr="008E58D9">
        <w:rPr>
          <w:rFonts w:ascii="Times New Roman" w:hAnsi="Times New Roman" w:cs="Times New Roman"/>
          <w:color w:val="000000" w:themeColor="text1"/>
          <w:sz w:val="24"/>
          <w:szCs w:val="24"/>
        </w:rPr>
        <w:t xml:space="preserve">Turunç, G. (1999). </w:t>
      </w:r>
      <w:r w:rsidRPr="008E58D9">
        <w:rPr>
          <w:rFonts w:ascii="Times New Roman" w:hAnsi="Times New Roman" w:cs="Times New Roman"/>
          <w:i/>
          <w:iCs/>
          <w:color w:val="000000" w:themeColor="text1"/>
          <w:sz w:val="24"/>
          <w:szCs w:val="24"/>
        </w:rPr>
        <w:t>Développement du secteur financier et croissance: le cas des pays émergent méditerranée.</w:t>
      </w:r>
      <w:r w:rsidRPr="008E58D9">
        <w:rPr>
          <w:rFonts w:ascii="Times New Roman" w:hAnsi="Times New Roman" w:cs="Times New Roman"/>
          <w:color w:val="000000" w:themeColor="text1"/>
          <w:sz w:val="24"/>
          <w:szCs w:val="24"/>
        </w:rPr>
        <w:t xml:space="preserve"> Université Montesquieu-Bordeaux IV/ revue Région et Développement n°10-1999. p. 90-120.</w:t>
      </w:r>
    </w:p>
    <w:p w14:paraId="34D19EFE" w14:textId="77777777" w:rsidR="003A1034" w:rsidRPr="008E58D9" w:rsidRDefault="00F93D0E">
      <w:pPr>
        <w:pStyle w:val="Bibliographie1"/>
        <w:ind w:left="720" w:hanging="720"/>
        <w:jc w:val="both"/>
        <w:rPr>
          <w:rFonts w:ascii="Times New Roman" w:hAnsi="Times New Roman" w:cs="Times New Roman"/>
          <w:color w:val="000000" w:themeColor="text1"/>
          <w:sz w:val="24"/>
          <w:szCs w:val="24"/>
          <w:lang w:val="en-US"/>
        </w:rPr>
      </w:pPr>
      <w:r w:rsidRPr="008E58D9">
        <w:rPr>
          <w:rFonts w:ascii="Times New Roman" w:hAnsi="Times New Roman" w:cs="Times New Roman"/>
          <w:color w:val="000000" w:themeColor="text1"/>
          <w:sz w:val="24"/>
          <w:szCs w:val="24"/>
          <w:lang w:val="en-US"/>
        </w:rPr>
        <w:t xml:space="preserve">Yilmazkuday, H. (2011). </w:t>
      </w:r>
      <w:r w:rsidRPr="008E58D9">
        <w:rPr>
          <w:rFonts w:ascii="Times New Roman" w:hAnsi="Times New Roman" w:cs="Times New Roman"/>
          <w:i/>
          <w:iCs/>
          <w:color w:val="000000" w:themeColor="text1"/>
          <w:sz w:val="24"/>
          <w:szCs w:val="24"/>
          <w:lang w:val="en-US"/>
        </w:rPr>
        <w:t>Thresholds in the finance-growth nexus: A cross-country analysis.</w:t>
      </w:r>
      <w:r w:rsidRPr="008E58D9">
        <w:rPr>
          <w:rFonts w:ascii="Times New Roman" w:hAnsi="Times New Roman" w:cs="Times New Roman"/>
          <w:color w:val="000000" w:themeColor="text1"/>
          <w:sz w:val="24"/>
          <w:szCs w:val="24"/>
          <w:lang w:val="en-US"/>
        </w:rPr>
        <w:t xml:space="preserve"> world bank economic review, 25(2): 278-295.</w:t>
      </w:r>
    </w:p>
    <w:p w14:paraId="68CD4C24" w14:textId="77777777" w:rsidR="003A1034" w:rsidRDefault="00F93D0E">
      <w:pPr>
        <w:tabs>
          <w:tab w:val="left" w:pos="2174"/>
        </w:tabs>
        <w:jc w:val="both"/>
        <w:rPr>
          <w:rFonts w:ascii="Times New Roman" w:hAnsi="Times New Roman" w:cs="Times New Roman"/>
          <w:sz w:val="24"/>
          <w:lang w:val="en-US"/>
        </w:rPr>
      </w:pPr>
      <w:r w:rsidRPr="008E58D9">
        <w:rPr>
          <w:rFonts w:ascii="Times New Roman" w:hAnsi="Times New Roman" w:cs="Times New Roman"/>
          <w:color w:val="000000" w:themeColor="text1"/>
          <w:sz w:val="24"/>
          <w:szCs w:val="24"/>
        </w:rPr>
        <w:fldChar w:fldCharType="end"/>
      </w:r>
    </w:p>
    <w:p w14:paraId="26EEE110" w14:textId="77777777" w:rsidR="003A1034" w:rsidRDefault="003A1034">
      <w:pPr>
        <w:tabs>
          <w:tab w:val="left" w:pos="2174"/>
        </w:tabs>
        <w:jc w:val="both"/>
        <w:rPr>
          <w:rFonts w:ascii="Times New Roman" w:hAnsi="Times New Roman" w:cs="Times New Roman"/>
          <w:sz w:val="24"/>
          <w:lang w:val="en-US"/>
        </w:rPr>
      </w:pPr>
    </w:p>
    <w:p w14:paraId="353CF070" w14:textId="77777777" w:rsidR="003A1034" w:rsidRDefault="003A1034">
      <w:pPr>
        <w:tabs>
          <w:tab w:val="left" w:pos="2174"/>
        </w:tabs>
        <w:jc w:val="both"/>
        <w:rPr>
          <w:rFonts w:ascii="Times New Roman" w:hAnsi="Times New Roman" w:cs="Times New Roman"/>
          <w:sz w:val="24"/>
          <w:lang w:val="en-US"/>
        </w:rPr>
      </w:pPr>
    </w:p>
    <w:p w14:paraId="7DE0D96B" w14:textId="77777777" w:rsidR="003A1034" w:rsidRDefault="003A1034">
      <w:pPr>
        <w:tabs>
          <w:tab w:val="left" w:pos="2174"/>
        </w:tabs>
        <w:jc w:val="both"/>
        <w:rPr>
          <w:rFonts w:ascii="Times New Roman" w:hAnsi="Times New Roman" w:cs="Times New Roman"/>
          <w:sz w:val="24"/>
          <w:lang w:val="en-US"/>
        </w:rPr>
      </w:pPr>
    </w:p>
    <w:p w14:paraId="3601CAD1" w14:textId="77777777" w:rsidR="003A1034" w:rsidRDefault="003A1034">
      <w:pPr>
        <w:tabs>
          <w:tab w:val="left" w:pos="3345"/>
        </w:tabs>
        <w:rPr>
          <w:rFonts w:ascii="Times New Roman" w:hAnsi="Times New Roman" w:cs="Times New Roman"/>
          <w:b/>
          <w:sz w:val="24"/>
          <w:lang w:val="en-US"/>
        </w:rPr>
      </w:pPr>
    </w:p>
    <w:sectPr w:rsidR="003A1034">
      <w:footerReference w:type="even" r:id="rId8"/>
      <w:footerReference w:type="default" r:id="rId9"/>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44708" w14:textId="77777777" w:rsidR="001B4F1E" w:rsidRDefault="001B4F1E">
      <w:pPr>
        <w:spacing w:line="240" w:lineRule="auto"/>
      </w:pPr>
      <w:r>
        <w:separator/>
      </w:r>
    </w:p>
  </w:endnote>
  <w:endnote w:type="continuationSeparator" w:id="0">
    <w:p w14:paraId="2320CA4E" w14:textId="77777777" w:rsidR="001B4F1E" w:rsidRDefault="001B4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f1">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225455658"/>
    </w:sdtPr>
    <w:sdtEndPr>
      <w:rPr>
        <w:rStyle w:val="Numrodepage"/>
      </w:rPr>
    </w:sdtEndPr>
    <w:sdtContent>
      <w:p w14:paraId="21A94486" w14:textId="77777777" w:rsidR="00EF0A2C" w:rsidRDefault="00EF0A2C">
        <w:pPr>
          <w:pStyle w:val="Pieddepage"/>
          <w:framePr w:wrap="auto"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5B69361" w14:textId="77777777" w:rsidR="00EF0A2C" w:rsidRDefault="00EF0A2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228266506"/>
    </w:sdtPr>
    <w:sdtEndPr>
      <w:rPr>
        <w:rStyle w:val="Numrodepage"/>
      </w:rPr>
    </w:sdtEndPr>
    <w:sdtContent>
      <w:p w14:paraId="6EE1CA62" w14:textId="77777777" w:rsidR="00EF0A2C" w:rsidRDefault="00EF0A2C">
        <w:pPr>
          <w:pStyle w:val="Pieddepage"/>
          <w:framePr w:wrap="auto"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rPr>
          <w:t>6</w:t>
        </w:r>
        <w:r>
          <w:rPr>
            <w:rStyle w:val="Numrodepage"/>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0B6FB1" w14:textId="77777777" w:rsidR="00EF0A2C" w:rsidRDefault="00EF0A2C">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E6F20" w14:textId="77777777" w:rsidR="001B4F1E" w:rsidRDefault="001B4F1E">
      <w:pPr>
        <w:spacing w:after="0"/>
      </w:pPr>
      <w:r>
        <w:separator/>
      </w:r>
    </w:p>
  </w:footnote>
  <w:footnote w:type="continuationSeparator" w:id="0">
    <w:p w14:paraId="1A61BD0B" w14:textId="77777777" w:rsidR="001B4F1E" w:rsidRDefault="001B4F1E">
      <w:pPr>
        <w:spacing w:after="0"/>
      </w:pPr>
      <w:r>
        <w:continuationSeparator/>
      </w:r>
    </w:p>
  </w:footnote>
  <w:footnote w:id="1">
    <w:p w14:paraId="487A9FBA" w14:textId="77777777" w:rsidR="00EF0A2C" w:rsidRDefault="00EF0A2C">
      <w:pPr>
        <w:rPr>
          <w:rFonts w:ascii="Times New Roman" w:hAnsi="Times New Roman" w:cs="Times New Roman"/>
          <w:i/>
          <w:sz w:val="20"/>
          <w:szCs w:val="24"/>
        </w:rPr>
      </w:pPr>
      <w:r>
        <w:rPr>
          <w:rStyle w:val="Appelnotedebasdep"/>
        </w:rPr>
        <w:footnoteRef/>
      </w:r>
      <w:r>
        <w:t xml:space="preserve"> </w:t>
      </w:r>
      <w:r>
        <w:rPr>
          <w:rFonts w:ascii="Times New Roman" w:hAnsi="Times New Roman" w:cs="Times New Roman"/>
          <w:sz w:val="20"/>
          <w:szCs w:val="24"/>
        </w:rPr>
        <w:t>Le Benin ne dispose pas de données sur la qualité des institutions. Quant à la Guinée-Bissau, elle ne dispose pas de données sur le capital humain.</w:t>
      </w:r>
    </w:p>
    <w:p w14:paraId="234E6C3A" w14:textId="77777777" w:rsidR="00EF0A2C" w:rsidRDefault="00EF0A2C">
      <w:pPr>
        <w:pStyle w:val="Notedebasdepage"/>
      </w:pPr>
    </w:p>
  </w:footnote>
  <w:footnote w:id="2">
    <w:p w14:paraId="129AB5C1" w14:textId="77777777" w:rsidR="00EF0A2C" w:rsidRDefault="00EF0A2C">
      <w:pPr>
        <w:pStyle w:val="Notedebasdepage"/>
        <w:rPr>
          <w:rFonts w:ascii="Times New Roman" w:hAnsi="Times New Roman" w:cs="Times New Roman"/>
          <w:i/>
        </w:rPr>
      </w:pPr>
      <w:r>
        <w:rPr>
          <w:rStyle w:val="Appelnotedebasdep"/>
        </w:rPr>
        <w:footnoteRef/>
      </w:r>
      <w:r>
        <w:t xml:space="preserve"> </w:t>
      </w:r>
      <w:r>
        <w:rPr>
          <w:rFonts w:ascii="Times New Roman" w:hAnsi="Times New Roman" w:cs="Times New Roman"/>
          <w:i/>
        </w:rPr>
        <w:t>Les estimations en utilisant M2/PIB, la qualité de la bureaucratie et l’absence de corruption sont en annexe. Ces estimations donnent des résultats semblables à ceux interprétés.</w:t>
      </w:r>
    </w:p>
  </w:footnote>
  <w:footnote w:id="3">
    <w:p w14:paraId="543B67EE" w14:textId="77777777" w:rsidR="00EF0A2C" w:rsidRDefault="00EF0A2C">
      <w:pPr>
        <w:pStyle w:val="Notedebasdepage"/>
      </w:pPr>
      <w:r>
        <w:rPr>
          <w:rStyle w:val="Appelnotedebasdep"/>
          <w:rFonts w:ascii="Times New Roman" w:hAnsi="Times New Roman" w:cs="Times New Roman"/>
          <w:i/>
        </w:rPr>
        <w:footnoteRef/>
      </w:r>
      <w:r>
        <w:rPr>
          <w:rFonts w:ascii="Times New Roman" w:hAnsi="Times New Roman" w:cs="Times New Roman"/>
          <w:i/>
        </w:rPr>
        <w:t xml:space="preserve"> Voir annexe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25D4"/>
    <w:multiLevelType w:val="multilevel"/>
    <w:tmpl w:val="0ADE25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3D6A5B"/>
    <w:multiLevelType w:val="multilevel"/>
    <w:tmpl w:val="203D6A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53B12DD"/>
    <w:multiLevelType w:val="multilevel"/>
    <w:tmpl w:val="253B12DD"/>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63208F5"/>
    <w:multiLevelType w:val="multilevel"/>
    <w:tmpl w:val="263208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544FCD"/>
    <w:multiLevelType w:val="multilevel"/>
    <w:tmpl w:val="28544F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4A2BD3"/>
    <w:multiLevelType w:val="multilevel"/>
    <w:tmpl w:val="294A2B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FCC5402"/>
    <w:multiLevelType w:val="multilevel"/>
    <w:tmpl w:val="2FCC5402"/>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753174"/>
    <w:multiLevelType w:val="multilevel"/>
    <w:tmpl w:val="3B7531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3402716"/>
    <w:multiLevelType w:val="multilevel"/>
    <w:tmpl w:val="434027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004A96"/>
    <w:multiLevelType w:val="multilevel"/>
    <w:tmpl w:val="49004A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5"/>
  </w:num>
  <w:num w:numId="4">
    <w:abstractNumId w:val="0"/>
  </w:num>
  <w:num w:numId="5">
    <w:abstractNumId w:val="9"/>
  </w:num>
  <w:num w:numId="6">
    <w:abstractNumId w:val="7"/>
  </w:num>
  <w:num w:numId="7">
    <w:abstractNumId w:val="3"/>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C28"/>
    <w:rsid w:val="0000101C"/>
    <w:rsid w:val="0000132B"/>
    <w:rsid w:val="00002491"/>
    <w:rsid w:val="000024DC"/>
    <w:rsid w:val="000059B8"/>
    <w:rsid w:val="00007D36"/>
    <w:rsid w:val="00012C02"/>
    <w:rsid w:val="00012FAD"/>
    <w:rsid w:val="000137B7"/>
    <w:rsid w:val="00014C20"/>
    <w:rsid w:val="00020B66"/>
    <w:rsid w:val="00020D9E"/>
    <w:rsid w:val="00021990"/>
    <w:rsid w:val="000223EF"/>
    <w:rsid w:val="00024171"/>
    <w:rsid w:val="000242CB"/>
    <w:rsid w:val="00024ADC"/>
    <w:rsid w:val="00027576"/>
    <w:rsid w:val="00030077"/>
    <w:rsid w:val="0003221B"/>
    <w:rsid w:val="00032559"/>
    <w:rsid w:val="000326BE"/>
    <w:rsid w:val="00032DEC"/>
    <w:rsid w:val="00032DFD"/>
    <w:rsid w:val="0003305E"/>
    <w:rsid w:val="00035563"/>
    <w:rsid w:val="00036F60"/>
    <w:rsid w:val="00037DA7"/>
    <w:rsid w:val="0004038E"/>
    <w:rsid w:val="000409CF"/>
    <w:rsid w:val="00040A27"/>
    <w:rsid w:val="00040E1A"/>
    <w:rsid w:val="00040EEF"/>
    <w:rsid w:val="00041009"/>
    <w:rsid w:val="00041B59"/>
    <w:rsid w:val="00042892"/>
    <w:rsid w:val="000441BF"/>
    <w:rsid w:val="00044FD9"/>
    <w:rsid w:val="000466B5"/>
    <w:rsid w:val="00047D95"/>
    <w:rsid w:val="000521F7"/>
    <w:rsid w:val="00053C42"/>
    <w:rsid w:val="00053DDF"/>
    <w:rsid w:val="00054299"/>
    <w:rsid w:val="00056DE1"/>
    <w:rsid w:val="00057114"/>
    <w:rsid w:val="00057CC9"/>
    <w:rsid w:val="00060E54"/>
    <w:rsid w:val="0006165A"/>
    <w:rsid w:val="00061ADE"/>
    <w:rsid w:val="0006228B"/>
    <w:rsid w:val="00062DD1"/>
    <w:rsid w:val="00064850"/>
    <w:rsid w:val="00064EA5"/>
    <w:rsid w:val="00064EDC"/>
    <w:rsid w:val="00065858"/>
    <w:rsid w:val="00065D31"/>
    <w:rsid w:val="00067688"/>
    <w:rsid w:val="00070EAE"/>
    <w:rsid w:val="00071DD9"/>
    <w:rsid w:val="0007349F"/>
    <w:rsid w:val="0007390F"/>
    <w:rsid w:val="00073DF4"/>
    <w:rsid w:val="00073E69"/>
    <w:rsid w:val="00074765"/>
    <w:rsid w:val="000747D3"/>
    <w:rsid w:val="00074F99"/>
    <w:rsid w:val="000754B4"/>
    <w:rsid w:val="0007572B"/>
    <w:rsid w:val="00075C22"/>
    <w:rsid w:val="00075EE5"/>
    <w:rsid w:val="000808A7"/>
    <w:rsid w:val="00080ADC"/>
    <w:rsid w:val="00081340"/>
    <w:rsid w:val="000828F7"/>
    <w:rsid w:val="00083257"/>
    <w:rsid w:val="00083359"/>
    <w:rsid w:val="00083A9C"/>
    <w:rsid w:val="00084568"/>
    <w:rsid w:val="000846AB"/>
    <w:rsid w:val="00084B12"/>
    <w:rsid w:val="00084D68"/>
    <w:rsid w:val="000870EE"/>
    <w:rsid w:val="000902CE"/>
    <w:rsid w:val="00092654"/>
    <w:rsid w:val="00093242"/>
    <w:rsid w:val="000949C4"/>
    <w:rsid w:val="00096E41"/>
    <w:rsid w:val="000A0449"/>
    <w:rsid w:val="000A1018"/>
    <w:rsid w:val="000A18E4"/>
    <w:rsid w:val="000A1FCA"/>
    <w:rsid w:val="000A27C4"/>
    <w:rsid w:val="000A5871"/>
    <w:rsid w:val="000A5987"/>
    <w:rsid w:val="000A5C79"/>
    <w:rsid w:val="000A78C8"/>
    <w:rsid w:val="000A7EC3"/>
    <w:rsid w:val="000B19A2"/>
    <w:rsid w:val="000B1CEA"/>
    <w:rsid w:val="000B2D80"/>
    <w:rsid w:val="000B2F23"/>
    <w:rsid w:val="000B3D03"/>
    <w:rsid w:val="000B50AD"/>
    <w:rsid w:val="000B691C"/>
    <w:rsid w:val="000B69E5"/>
    <w:rsid w:val="000B6AED"/>
    <w:rsid w:val="000B6B5C"/>
    <w:rsid w:val="000B713F"/>
    <w:rsid w:val="000B7E07"/>
    <w:rsid w:val="000C1B94"/>
    <w:rsid w:val="000C27F6"/>
    <w:rsid w:val="000C37D3"/>
    <w:rsid w:val="000C491E"/>
    <w:rsid w:val="000C4F2D"/>
    <w:rsid w:val="000C5CBA"/>
    <w:rsid w:val="000C6B41"/>
    <w:rsid w:val="000C7F57"/>
    <w:rsid w:val="000D297A"/>
    <w:rsid w:val="000D38E2"/>
    <w:rsid w:val="000D4350"/>
    <w:rsid w:val="000D5EF1"/>
    <w:rsid w:val="000D63D3"/>
    <w:rsid w:val="000E0042"/>
    <w:rsid w:val="000E1518"/>
    <w:rsid w:val="000E1B3C"/>
    <w:rsid w:val="000E24B9"/>
    <w:rsid w:val="000E36BF"/>
    <w:rsid w:val="000E4A3B"/>
    <w:rsid w:val="000E4BD5"/>
    <w:rsid w:val="000E4E64"/>
    <w:rsid w:val="000E5835"/>
    <w:rsid w:val="000E7EDA"/>
    <w:rsid w:val="000F0C26"/>
    <w:rsid w:val="000F3263"/>
    <w:rsid w:val="000F47A4"/>
    <w:rsid w:val="000F64D9"/>
    <w:rsid w:val="000F664C"/>
    <w:rsid w:val="000F68B2"/>
    <w:rsid w:val="000F7AA3"/>
    <w:rsid w:val="00100A1B"/>
    <w:rsid w:val="0010111E"/>
    <w:rsid w:val="00102025"/>
    <w:rsid w:val="001034F4"/>
    <w:rsid w:val="001046E9"/>
    <w:rsid w:val="00105C08"/>
    <w:rsid w:val="001104C1"/>
    <w:rsid w:val="00111005"/>
    <w:rsid w:val="0011105B"/>
    <w:rsid w:val="0011266A"/>
    <w:rsid w:val="001132E0"/>
    <w:rsid w:val="0011375F"/>
    <w:rsid w:val="001139A3"/>
    <w:rsid w:val="00114992"/>
    <w:rsid w:val="001157BE"/>
    <w:rsid w:val="00115F54"/>
    <w:rsid w:val="0011624D"/>
    <w:rsid w:val="00116A4A"/>
    <w:rsid w:val="00121BDC"/>
    <w:rsid w:val="001223E5"/>
    <w:rsid w:val="001235BD"/>
    <w:rsid w:val="0012504C"/>
    <w:rsid w:val="00126755"/>
    <w:rsid w:val="00130085"/>
    <w:rsid w:val="00130BF3"/>
    <w:rsid w:val="0013131B"/>
    <w:rsid w:val="0013184E"/>
    <w:rsid w:val="001325B0"/>
    <w:rsid w:val="00132839"/>
    <w:rsid w:val="001329BA"/>
    <w:rsid w:val="00133B78"/>
    <w:rsid w:val="00136AA0"/>
    <w:rsid w:val="00137CB8"/>
    <w:rsid w:val="00140261"/>
    <w:rsid w:val="00141644"/>
    <w:rsid w:val="00147861"/>
    <w:rsid w:val="00147CB5"/>
    <w:rsid w:val="00150327"/>
    <w:rsid w:val="00150683"/>
    <w:rsid w:val="0015288D"/>
    <w:rsid w:val="00152CD9"/>
    <w:rsid w:val="0015410F"/>
    <w:rsid w:val="001544FD"/>
    <w:rsid w:val="0015580C"/>
    <w:rsid w:val="0015587B"/>
    <w:rsid w:val="00156709"/>
    <w:rsid w:val="00163894"/>
    <w:rsid w:val="001664BF"/>
    <w:rsid w:val="00166AA0"/>
    <w:rsid w:val="00167259"/>
    <w:rsid w:val="00167898"/>
    <w:rsid w:val="00170370"/>
    <w:rsid w:val="001714E4"/>
    <w:rsid w:val="00176DC1"/>
    <w:rsid w:val="00177364"/>
    <w:rsid w:val="0017747A"/>
    <w:rsid w:val="00177B46"/>
    <w:rsid w:val="00177C91"/>
    <w:rsid w:val="00177FC1"/>
    <w:rsid w:val="001805B3"/>
    <w:rsid w:val="00182280"/>
    <w:rsid w:val="00184187"/>
    <w:rsid w:val="00184C9E"/>
    <w:rsid w:val="00186790"/>
    <w:rsid w:val="00194FCB"/>
    <w:rsid w:val="00197138"/>
    <w:rsid w:val="001A0839"/>
    <w:rsid w:val="001A1D53"/>
    <w:rsid w:val="001A2192"/>
    <w:rsid w:val="001A21B9"/>
    <w:rsid w:val="001A3EDF"/>
    <w:rsid w:val="001A5D9E"/>
    <w:rsid w:val="001A6676"/>
    <w:rsid w:val="001A7D2E"/>
    <w:rsid w:val="001B088B"/>
    <w:rsid w:val="001B33DD"/>
    <w:rsid w:val="001B3687"/>
    <w:rsid w:val="001B3BAA"/>
    <w:rsid w:val="001B4342"/>
    <w:rsid w:val="001B43B3"/>
    <w:rsid w:val="001B4F1E"/>
    <w:rsid w:val="001B5EA4"/>
    <w:rsid w:val="001C02D9"/>
    <w:rsid w:val="001C2BFF"/>
    <w:rsid w:val="001C3010"/>
    <w:rsid w:val="001C33A3"/>
    <w:rsid w:val="001C388F"/>
    <w:rsid w:val="001C51C8"/>
    <w:rsid w:val="001C64C4"/>
    <w:rsid w:val="001C7453"/>
    <w:rsid w:val="001D41E7"/>
    <w:rsid w:val="001D78CF"/>
    <w:rsid w:val="001D7D27"/>
    <w:rsid w:val="001D7DD4"/>
    <w:rsid w:val="001E0A42"/>
    <w:rsid w:val="001E22DD"/>
    <w:rsid w:val="001E35DE"/>
    <w:rsid w:val="001E36EE"/>
    <w:rsid w:val="001E392D"/>
    <w:rsid w:val="001E4F14"/>
    <w:rsid w:val="001E590A"/>
    <w:rsid w:val="001E5FC8"/>
    <w:rsid w:val="001E68B2"/>
    <w:rsid w:val="001E7D22"/>
    <w:rsid w:val="001F00E2"/>
    <w:rsid w:val="001F1D34"/>
    <w:rsid w:val="001F2306"/>
    <w:rsid w:val="001F28D2"/>
    <w:rsid w:val="001F2F32"/>
    <w:rsid w:val="001F44B6"/>
    <w:rsid w:val="001F6023"/>
    <w:rsid w:val="001F6766"/>
    <w:rsid w:val="001F7DA6"/>
    <w:rsid w:val="00201493"/>
    <w:rsid w:val="002022F3"/>
    <w:rsid w:val="00203858"/>
    <w:rsid w:val="002044B4"/>
    <w:rsid w:val="00207D05"/>
    <w:rsid w:val="0021047E"/>
    <w:rsid w:val="0021229B"/>
    <w:rsid w:val="0021247F"/>
    <w:rsid w:val="0021303C"/>
    <w:rsid w:val="00214025"/>
    <w:rsid w:val="002179E6"/>
    <w:rsid w:val="00221A0D"/>
    <w:rsid w:val="002242E7"/>
    <w:rsid w:val="00226249"/>
    <w:rsid w:val="002312DE"/>
    <w:rsid w:val="00231CB4"/>
    <w:rsid w:val="00232ACF"/>
    <w:rsid w:val="00236D20"/>
    <w:rsid w:val="00236E9F"/>
    <w:rsid w:val="00237082"/>
    <w:rsid w:val="00237308"/>
    <w:rsid w:val="00240B72"/>
    <w:rsid w:val="002417A5"/>
    <w:rsid w:val="0024475D"/>
    <w:rsid w:val="0024492A"/>
    <w:rsid w:val="0024550D"/>
    <w:rsid w:val="00247A06"/>
    <w:rsid w:val="002506CE"/>
    <w:rsid w:val="0025115C"/>
    <w:rsid w:val="00253007"/>
    <w:rsid w:val="002533D6"/>
    <w:rsid w:val="00253B22"/>
    <w:rsid w:val="00254C91"/>
    <w:rsid w:val="00255A65"/>
    <w:rsid w:val="002603EF"/>
    <w:rsid w:val="00260FC9"/>
    <w:rsid w:val="0026102C"/>
    <w:rsid w:val="00261C16"/>
    <w:rsid w:val="00262FE3"/>
    <w:rsid w:val="002636F3"/>
    <w:rsid w:val="0026406F"/>
    <w:rsid w:val="00264919"/>
    <w:rsid w:val="002656E6"/>
    <w:rsid w:val="002657B0"/>
    <w:rsid w:val="002662E6"/>
    <w:rsid w:val="00266664"/>
    <w:rsid w:val="0026707D"/>
    <w:rsid w:val="0026714A"/>
    <w:rsid w:val="00267362"/>
    <w:rsid w:val="00270237"/>
    <w:rsid w:val="00271679"/>
    <w:rsid w:val="002716A9"/>
    <w:rsid w:val="00272E98"/>
    <w:rsid w:val="002751C6"/>
    <w:rsid w:val="00280262"/>
    <w:rsid w:val="0028082E"/>
    <w:rsid w:val="00280DD0"/>
    <w:rsid w:val="002836DE"/>
    <w:rsid w:val="00284A69"/>
    <w:rsid w:val="00286093"/>
    <w:rsid w:val="00286E14"/>
    <w:rsid w:val="002911FF"/>
    <w:rsid w:val="00291E3E"/>
    <w:rsid w:val="0029204B"/>
    <w:rsid w:val="00292498"/>
    <w:rsid w:val="00293663"/>
    <w:rsid w:val="00295D9C"/>
    <w:rsid w:val="00296F49"/>
    <w:rsid w:val="002A0093"/>
    <w:rsid w:val="002A0FB1"/>
    <w:rsid w:val="002A3846"/>
    <w:rsid w:val="002A3BB0"/>
    <w:rsid w:val="002A3E11"/>
    <w:rsid w:val="002A410B"/>
    <w:rsid w:val="002A470A"/>
    <w:rsid w:val="002A6291"/>
    <w:rsid w:val="002A71A2"/>
    <w:rsid w:val="002B1D80"/>
    <w:rsid w:val="002B24CF"/>
    <w:rsid w:val="002B2903"/>
    <w:rsid w:val="002B3C27"/>
    <w:rsid w:val="002B4192"/>
    <w:rsid w:val="002B51C0"/>
    <w:rsid w:val="002B56C9"/>
    <w:rsid w:val="002B643C"/>
    <w:rsid w:val="002B7B9F"/>
    <w:rsid w:val="002C1095"/>
    <w:rsid w:val="002C138A"/>
    <w:rsid w:val="002C1FB6"/>
    <w:rsid w:val="002C40C4"/>
    <w:rsid w:val="002C6870"/>
    <w:rsid w:val="002D1305"/>
    <w:rsid w:val="002D16E0"/>
    <w:rsid w:val="002D1A8D"/>
    <w:rsid w:val="002D1F3D"/>
    <w:rsid w:val="002D369F"/>
    <w:rsid w:val="002D386D"/>
    <w:rsid w:val="002D452C"/>
    <w:rsid w:val="002D4EC8"/>
    <w:rsid w:val="002D4ECD"/>
    <w:rsid w:val="002D4F02"/>
    <w:rsid w:val="002D54FF"/>
    <w:rsid w:val="002D652C"/>
    <w:rsid w:val="002D6566"/>
    <w:rsid w:val="002D7896"/>
    <w:rsid w:val="002D7992"/>
    <w:rsid w:val="002E1168"/>
    <w:rsid w:val="002E43F0"/>
    <w:rsid w:val="002E466A"/>
    <w:rsid w:val="002E54ED"/>
    <w:rsid w:val="002E5E41"/>
    <w:rsid w:val="002E6B9C"/>
    <w:rsid w:val="002E720F"/>
    <w:rsid w:val="002E78BC"/>
    <w:rsid w:val="002E7FE3"/>
    <w:rsid w:val="002F0F3F"/>
    <w:rsid w:val="002F2F47"/>
    <w:rsid w:val="002F3261"/>
    <w:rsid w:val="002F3857"/>
    <w:rsid w:val="002F49AE"/>
    <w:rsid w:val="002F61B5"/>
    <w:rsid w:val="002F68E9"/>
    <w:rsid w:val="00300277"/>
    <w:rsid w:val="00300BE9"/>
    <w:rsid w:val="003016FF"/>
    <w:rsid w:val="003020ED"/>
    <w:rsid w:val="003021B6"/>
    <w:rsid w:val="00302568"/>
    <w:rsid w:val="003033DA"/>
    <w:rsid w:val="00303E80"/>
    <w:rsid w:val="00304B90"/>
    <w:rsid w:val="00304C5E"/>
    <w:rsid w:val="00305B77"/>
    <w:rsid w:val="00305D97"/>
    <w:rsid w:val="003109BB"/>
    <w:rsid w:val="00312D13"/>
    <w:rsid w:val="00312FEA"/>
    <w:rsid w:val="00313341"/>
    <w:rsid w:val="0031440B"/>
    <w:rsid w:val="00314A0E"/>
    <w:rsid w:val="00314ECF"/>
    <w:rsid w:val="00316F24"/>
    <w:rsid w:val="00317483"/>
    <w:rsid w:val="00317A80"/>
    <w:rsid w:val="00320653"/>
    <w:rsid w:val="0032096C"/>
    <w:rsid w:val="0032149A"/>
    <w:rsid w:val="0032156F"/>
    <w:rsid w:val="003216DA"/>
    <w:rsid w:val="00321D1E"/>
    <w:rsid w:val="00323390"/>
    <w:rsid w:val="00324A87"/>
    <w:rsid w:val="00324E11"/>
    <w:rsid w:val="003250F3"/>
    <w:rsid w:val="00326C9A"/>
    <w:rsid w:val="00326E5C"/>
    <w:rsid w:val="00327A45"/>
    <w:rsid w:val="003300B6"/>
    <w:rsid w:val="0033017A"/>
    <w:rsid w:val="0033173F"/>
    <w:rsid w:val="00333973"/>
    <w:rsid w:val="00334DB1"/>
    <w:rsid w:val="00334E42"/>
    <w:rsid w:val="00335362"/>
    <w:rsid w:val="00336C65"/>
    <w:rsid w:val="00337DAC"/>
    <w:rsid w:val="003406B9"/>
    <w:rsid w:val="00340BAE"/>
    <w:rsid w:val="003442EA"/>
    <w:rsid w:val="00345327"/>
    <w:rsid w:val="00345436"/>
    <w:rsid w:val="0034627B"/>
    <w:rsid w:val="00346EC3"/>
    <w:rsid w:val="00351098"/>
    <w:rsid w:val="003519BD"/>
    <w:rsid w:val="00351E33"/>
    <w:rsid w:val="00353B94"/>
    <w:rsid w:val="00354ADE"/>
    <w:rsid w:val="00354BD9"/>
    <w:rsid w:val="00357FF9"/>
    <w:rsid w:val="003615A1"/>
    <w:rsid w:val="00362040"/>
    <w:rsid w:val="00362A1B"/>
    <w:rsid w:val="00364006"/>
    <w:rsid w:val="003640FA"/>
    <w:rsid w:val="00364CF5"/>
    <w:rsid w:val="00365D3C"/>
    <w:rsid w:val="00365EC5"/>
    <w:rsid w:val="00366D5C"/>
    <w:rsid w:val="003674FD"/>
    <w:rsid w:val="00372417"/>
    <w:rsid w:val="00373642"/>
    <w:rsid w:val="00374157"/>
    <w:rsid w:val="003741AD"/>
    <w:rsid w:val="00374202"/>
    <w:rsid w:val="0037550B"/>
    <w:rsid w:val="00375D13"/>
    <w:rsid w:val="00376A23"/>
    <w:rsid w:val="00377784"/>
    <w:rsid w:val="00382859"/>
    <w:rsid w:val="003831F1"/>
    <w:rsid w:val="00383A60"/>
    <w:rsid w:val="00383AAB"/>
    <w:rsid w:val="003847F0"/>
    <w:rsid w:val="00386479"/>
    <w:rsid w:val="00386BF1"/>
    <w:rsid w:val="00387421"/>
    <w:rsid w:val="00390A3C"/>
    <w:rsid w:val="003948A6"/>
    <w:rsid w:val="003A1034"/>
    <w:rsid w:val="003A2ADA"/>
    <w:rsid w:val="003A2E0C"/>
    <w:rsid w:val="003A34E0"/>
    <w:rsid w:val="003A4B57"/>
    <w:rsid w:val="003A64E7"/>
    <w:rsid w:val="003A707F"/>
    <w:rsid w:val="003B0108"/>
    <w:rsid w:val="003B0E73"/>
    <w:rsid w:val="003B1FEF"/>
    <w:rsid w:val="003B236E"/>
    <w:rsid w:val="003B2785"/>
    <w:rsid w:val="003B336A"/>
    <w:rsid w:val="003B5F43"/>
    <w:rsid w:val="003B61F2"/>
    <w:rsid w:val="003B62BF"/>
    <w:rsid w:val="003C1A4C"/>
    <w:rsid w:val="003C2B41"/>
    <w:rsid w:val="003C36CF"/>
    <w:rsid w:val="003C4C7B"/>
    <w:rsid w:val="003C6B59"/>
    <w:rsid w:val="003D1ABA"/>
    <w:rsid w:val="003D2401"/>
    <w:rsid w:val="003D2CF3"/>
    <w:rsid w:val="003D304F"/>
    <w:rsid w:val="003D4FBA"/>
    <w:rsid w:val="003D4FC5"/>
    <w:rsid w:val="003D569F"/>
    <w:rsid w:val="003E1C1F"/>
    <w:rsid w:val="003E292C"/>
    <w:rsid w:val="003E2EB5"/>
    <w:rsid w:val="003E33B5"/>
    <w:rsid w:val="003E425F"/>
    <w:rsid w:val="003E6210"/>
    <w:rsid w:val="003E7FFA"/>
    <w:rsid w:val="003F0994"/>
    <w:rsid w:val="003F3BFF"/>
    <w:rsid w:val="003F4BF2"/>
    <w:rsid w:val="003F4D76"/>
    <w:rsid w:val="003F50CD"/>
    <w:rsid w:val="003F74AA"/>
    <w:rsid w:val="0040181A"/>
    <w:rsid w:val="0040186E"/>
    <w:rsid w:val="0040203D"/>
    <w:rsid w:val="004020DB"/>
    <w:rsid w:val="00402369"/>
    <w:rsid w:val="00402D12"/>
    <w:rsid w:val="004034AB"/>
    <w:rsid w:val="00403D07"/>
    <w:rsid w:val="00403D0A"/>
    <w:rsid w:val="00404B21"/>
    <w:rsid w:val="00405870"/>
    <w:rsid w:val="004072AD"/>
    <w:rsid w:val="004078F6"/>
    <w:rsid w:val="00410660"/>
    <w:rsid w:val="00411939"/>
    <w:rsid w:val="00412419"/>
    <w:rsid w:val="00412E0B"/>
    <w:rsid w:val="00413D2D"/>
    <w:rsid w:val="00416963"/>
    <w:rsid w:val="004171A5"/>
    <w:rsid w:val="00417CAD"/>
    <w:rsid w:val="00417E78"/>
    <w:rsid w:val="0042107B"/>
    <w:rsid w:val="00421397"/>
    <w:rsid w:val="00421C5C"/>
    <w:rsid w:val="00421EBA"/>
    <w:rsid w:val="0042276E"/>
    <w:rsid w:val="00422ABA"/>
    <w:rsid w:val="00422B87"/>
    <w:rsid w:val="00423265"/>
    <w:rsid w:val="00423A87"/>
    <w:rsid w:val="004240E8"/>
    <w:rsid w:val="004243F2"/>
    <w:rsid w:val="00426F36"/>
    <w:rsid w:val="00431019"/>
    <w:rsid w:val="0043123E"/>
    <w:rsid w:val="004341E2"/>
    <w:rsid w:val="004366D9"/>
    <w:rsid w:val="00436B80"/>
    <w:rsid w:val="00437738"/>
    <w:rsid w:val="0044058A"/>
    <w:rsid w:val="004432BF"/>
    <w:rsid w:val="00443773"/>
    <w:rsid w:val="00443994"/>
    <w:rsid w:val="00443DA7"/>
    <w:rsid w:val="004442D3"/>
    <w:rsid w:val="00445DE9"/>
    <w:rsid w:val="00445E9A"/>
    <w:rsid w:val="00447797"/>
    <w:rsid w:val="004515AD"/>
    <w:rsid w:val="00451785"/>
    <w:rsid w:val="00452FAF"/>
    <w:rsid w:val="004541B5"/>
    <w:rsid w:val="00454B7F"/>
    <w:rsid w:val="00455BB8"/>
    <w:rsid w:val="00455F3F"/>
    <w:rsid w:val="00456511"/>
    <w:rsid w:val="004571F5"/>
    <w:rsid w:val="004600EF"/>
    <w:rsid w:val="0046129F"/>
    <w:rsid w:val="00461F81"/>
    <w:rsid w:val="004624AA"/>
    <w:rsid w:val="00463660"/>
    <w:rsid w:val="00463853"/>
    <w:rsid w:val="0046484A"/>
    <w:rsid w:val="004659DE"/>
    <w:rsid w:val="00466AF4"/>
    <w:rsid w:val="00466B24"/>
    <w:rsid w:val="004702DD"/>
    <w:rsid w:val="004709DF"/>
    <w:rsid w:val="00470C08"/>
    <w:rsid w:val="00471537"/>
    <w:rsid w:val="0047174D"/>
    <w:rsid w:val="00472CC0"/>
    <w:rsid w:val="00473E13"/>
    <w:rsid w:val="00474279"/>
    <w:rsid w:val="004748DE"/>
    <w:rsid w:val="00474AED"/>
    <w:rsid w:val="00482096"/>
    <w:rsid w:val="004820F8"/>
    <w:rsid w:val="004825C1"/>
    <w:rsid w:val="00482948"/>
    <w:rsid w:val="00482B95"/>
    <w:rsid w:val="00482BC9"/>
    <w:rsid w:val="004831E2"/>
    <w:rsid w:val="0048358B"/>
    <w:rsid w:val="004847D7"/>
    <w:rsid w:val="00484DCA"/>
    <w:rsid w:val="004858E5"/>
    <w:rsid w:val="0048794B"/>
    <w:rsid w:val="004902B2"/>
    <w:rsid w:val="00490651"/>
    <w:rsid w:val="00490954"/>
    <w:rsid w:val="004958C6"/>
    <w:rsid w:val="00496FD5"/>
    <w:rsid w:val="00497AD3"/>
    <w:rsid w:val="004A19F3"/>
    <w:rsid w:val="004A3E05"/>
    <w:rsid w:val="004A3F70"/>
    <w:rsid w:val="004A420B"/>
    <w:rsid w:val="004A69D1"/>
    <w:rsid w:val="004B212F"/>
    <w:rsid w:val="004B2622"/>
    <w:rsid w:val="004B3769"/>
    <w:rsid w:val="004B3CA1"/>
    <w:rsid w:val="004B5670"/>
    <w:rsid w:val="004B57A0"/>
    <w:rsid w:val="004B6B1A"/>
    <w:rsid w:val="004B741B"/>
    <w:rsid w:val="004C14E9"/>
    <w:rsid w:val="004C206F"/>
    <w:rsid w:val="004C2937"/>
    <w:rsid w:val="004C5FA3"/>
    <w:rsid w:val="004D0826"/>
    <w:rsid w:val="004D0C69"/>
    <w:rsid w:val="004D4986"/>
    <w:rsid w:val="004D4CEA"/>
    <w:rsid w:val="004D7CF1"/>
    <w:rsid w:val="004E0B9F"/>
    <w:rsid w:val="004E213E"/>
    <w:rsid w:val="004E72B5"/>
    <w:rsid w:val="004E7F7C"/>
    <w:rsid w:val="004F0F88"/>
    <w:rsid w:val="004F6133"/>
    <w:rsid w:val="004F6601"/>
    <w:rsid w:val="004F7F05"/>
    <w:rsid w:val="00501057"/>
    <w:rsid w:val="0050336B"/>
    <w:rsid w:val="0050576D"/>
    <w:rsid w:val="00505F83"/>
    <w:rsid w:val="00506416"/>
    <w:rsid w:val="00510F74"/>
    <w:rsid w:val="00512C99"/>
    <w:rsid w:val="005140F5"/>
    <w:rsid w:val="00516D1E"/>
    <w:rsid w:val="00520495"/>
    <w:rsid w:val="00521700"/>
    <w:rsid w:val="00524031"/>
    <w:rsid w:val="005241BC"/>
    <w:rsid w:val="005253DC"/>
    <w:rsid w:val="005255F9"/>
    <w:rsid w:val="00526A48"/>
    <w:rsid w:val="00526EDF"/>
    <w:rsid w:val="00527C7A"/>
    <w:rsid w:val="0053107F"/>
    <w:rsid w:val="0053148B"/>
    <w:rsid w:val="00531B62"/>
    <w:rsid w:val="00532D02"/>
    <w:rsid w:val="00537835"/>
    <w:rsid w:val="005378EF"/>
    <w:rsid w:val="00537E70"/>
    <w:rsid w:val="0054104E"/>
    <w:rsid w:val="00541CBF"/>
    <w:rsid w:val="0054218D"/>
    <w:rsid w:val="00542AE2"/>
    <w:rsid w:val="00542AEF"/>
    <w:rsid w:val="00543C9A"/>
    <w:rsid w:val="00544397"/>
    <w:rsid w:val="005463A8"/>
    <w:rsid w:val="005465C1"/>
    <w:rsid w:val="00546EDA"/>
    <w:rsid w:val="00550EAC"/>
    <w:rsid w:val="005523FB"/>
    <w:rsid w:val="00554E33"/>
    <w:rsid w:val="00554E37"/>
    <w:rsid w:val="005574B2"/>
    <w:rsid w:val="00562E70"/>
    <w:rsid w:val="00562ECE"/>
    <w:rsid w:val="005657CF"/>
    <w:rsid w:val="00565FBB"/>
    <w:rsid w:val="0056745A"/>
    <w:rsid w:val="005674F6"/>
    <w:rsid w:val="005714F2"/>
    <w:rsid w:val="00572C66"/>
    <w:rsid w:val="00572C7C"/>
    <w:rsid w:val="00573503"/>
    <w:rsid w:val="00574A3F"/>
    <w:rsid w:val="0057563C"/>
    <w:rsid w:val="00576902"/>
    <w:rsid w:val="00576E6D"/>
    <w:rsid w:val="00577DE2"/>
    <w:rsid w:val="00580429"/>
    <w:rsid w:val="00581159"/>
    <w:rsid w:val="005817EB"/>
    <w:rsid w:val="00581BFD"/>
    <w:rsid w:val="0058302A"/>
    <w:rsid w:val="00584625"/>
    <w:rsid w:val="005852EC"/>
    <w:rsid w:val="00585958"/>
    <w:rsid w:val="00585B3B"/>
    <w:rsid w:val="0058615C"/>
    <w:rsid w:val="0058648F"/>
    <w:rsid w:val="0058671D"/>
    <w:rsid w:val="005868D0"/>
    <w:rsid w:val="00587C19"/>
    <w:rsid w:val="0059035C"/>
    <w:rsid w:val="00590ED6"/>
    <w:rsid w:val="00592211"/>
    <w:rsid w:val="005928F3"/>
    <w:rsid w:val="00593319"/>
    <w:rsid w:val="0059476B"/>
    <w:rsid w:val="0059589D"/>
    <w:rsid w:val="00595A02"/>
    <w:rsid w:val="00595D3D"/>
    <w:rsid w:val="00595EF7"/>
    <w:rsid w:val="0059702B"/>
    <w:rsid w:val="00597087"/>
    <w:rsid w:val="00597A31"/>
    <w:rsid w:val="005A27A9"/>
    <w:rsid w:val="005A37C2"/>
    <w:rsid w:val="005A399B"/>
    <w:rsid w:val="005A4C3F"/>
    <w:rsid w:val="005A563B"/>
    <w:rsid w:val="005A59B2"/>
    <w:rsid w:val="005A5C8F"/>
    <w:rsid w:val="005A6BA6"/>
    <w:rsid w:val="005A6D4C"/>
    <w:rsid w:val="005A6EF8"/>
    <w:rsid w:val="005A6FC3"/>
    <w:rsid w:val="005A71A9"/>
    <w:rsid w:val="005A7AA1"/>
    <w:rsid w:val="005B04A2"/>
    <w:rsid w:val="005B0F4B"/>
    <w:rsid w:val="005B1687"/>
    <w:rsid w:val="005B1B80"/>
    <w:rsid w:val="005B1E47"/>
    <w:rsid w:val="005B1ED5"/>
    <w:rsid w:val="005B3BE1"/>
    <w:rsid w:val="005B412C"/>
    <w:rsid w:val="005B66FB"/>
    <w:rsid w:val="005B6BAE"/>
    <w:rsid w:val="005B70A5"/>
    <w:rsid w:val="005B7B23"/>
    <w:rsid w:val="005C0B8D"/>
    <w:rsid w:val="005C297B"/>
    <w:rsid w:val="005C3231"/>
    <w:rsid w:val="005C483C"/>
    <w:rsid w:val="005C4DDF"/>
    <w:rsid w:val="005C63CB"/>
    <w:rsid w:val="005C6414"/>
    <w:rsid w:val="005C6F82"/>
    <w:rsid w:val="005C7A9E"/>
    <w:rsid w:val="005D2287"/>
    <w:rsid w:val="005D3088"/>
    <w:rsid w:val="005D36AC"/>
    <w:rsid w:val="005D4472"/>
    <w:rsid w:val="005D4E34"/>
    <w:rsid w:val="005D63F5"/>
    <w:rsid w:val="005D6D3A"/>
    <w:rsid w:val="005D7397"/>
    <w:rsid w:val="005D7C00"/>
    <w:rsid w:val="005E346F"/>
    <w:rsid w:val="005E43D0"/>
    <w:rsid w:val="005E66AF"/>
    <w:rsid w:val="005E6FE5"/>
    <w:rsid w:val="005F1CC1"/>
    <w:rsid w:val="005F26B8"/>
    <w:rsid w:val="005F4ACC"/>
    <w:rsid w:val="005F6258"/>
    <w:rsid w:val="005F673C"/>
    <w:rsid w:val="005F6C09"/>
    <w:rsid w:val="005F7304"/>
    <w:rsid w:val="0060264F"/>
    <w:rsid w:val="00602D4A"/>
    <w:rsid w:val="00604635"/>
    <w:rsid w:val="0060635F"/>
    <w:rsid w:val="00606B7D"/>
    <w:rsid w:val="00607ED5"/>
    <w:rsid w:val="00610D69"/>
    <w:rsid w:val="00613C7B"/>
    <w:rsid w:val="00615730"/>
    <w:rsid w:val="0061578A"/>
    <w:rsid w:val="00617734"/>
    <w:rsid w:val="00622322"/>
    <w:rsid w:val="006235AC"/>
    <w:rsid w:val="00623D4A"/>
    <w:rsid w:val="00623DED"/>
    <w:rsid w:val="00625B5D"/>
    <w:rsid w:val="00625D44"/>
    <w:rsid w:val="00627DEC"/>
    <w:rsid w:val="00633D0A"/>
    <w:rsid w:val="0063584B"/>
    <w:rsid w:val="0063635F"/>
    <w:rsid w:val="0063662A"/>
    <w:rsid w:val="006369FC"/>
    <w:rsid w:val="00637CE1"/>
    <w:rsid w:val="0064001C"/>
    <w:rsid w:val="00642221"/>
    <w:rsid w:val="0064274A"/>
    <w:rsid w:val="00643C2D"/>
    <w:rsid w:val="00644CE0"/>
    <w:rsid w:val="00646D04"/>
    <w:rsid w:val="00647CD5"/>
    <w:rsid w:val="00647EDB"/>
    <w:rsid w:val="006517A3"/>
    <w:rsid w:val="00651A29"/>
    <w:rsid w:val="00652003"/>
    <w:rsid w:val="00652D1F"/>
    <w:rsid w:val="00652E37"/>
    <w:rsid w:val="00653842"/>
    <w:rsid w:val="00653E95"/>
    <w:rsid w:val="006541B0"/>
    <w:rsid w:val="0065461D"/>
    <w:rsid w:val="00654A70"/>
    <w:rsid w:val="00656138"/>
    <w:rsid w:val="0065641D"/>
    <w:rsid w:val="00660F11"/>
    <w:rsid w:val="006611D3"/>
    <w:rsid w:val="00661EDE"/>
    <w:rsid w:val="0066217E"/>
    <w:rsid w:val="00663864"/>
    <w:rsid w:val="006719BE"/>
    <w:rsid w:val="00673DF5"/>
    <w:rsid w:val="00677FE4"/>
    <w:rsid w:val="00680737"/>
    <w:rsid w:val="00683E71"/>
    <w:rsid w:val="006849C4"/>
    <w:rsid w:val="00685FAE"/>
    <w:rsid w:val="00687F51"/>
    <w:rsid w:val="00690701"/>
    <w:rsid w:val="006917FA"/>
    <w:rsid w:val="00691C7C"/>
    <w:rsid w:val="006926F0"/>
    <w:rsid w:val="00692A87"/>
    <w:rsid w:val="00692D3D"/>
    <w:rsid w:val="00693E5C"/>
    <w:rsid w:val="0069507C"/>
    <w:rsid w:val="00695ABE"/>
    <w:rsid w:val="006A1363"/>
    <w:rsid w:val="006A2EE7"/>
    <w:rsid w:val="006A3145"/>
    <w:rsid w:val="006A3162"/>
    <w:rsid w:val="006A3606"/>
    <w:rsid w:val="006A36FA"/>
    <w:rsid w:val="006A3C51"/>
    <w:rsid w:val="006A3F07"/>
    <w:rsid w:val="006A61D8"/>
    <w:rsid w:val="006A6E68"/>
    <w:rsid w:val="006A7FEB"/>
    <w:rsid w:val="006B23BF"/>
    <w:rsid w:val="006B488B"/>
    <w:rsid w:val="006B56F3"/>
    <w:rsid w:val="006B670F"/>
    <w:rsid w:val="006B6877"/>
    <w:rsid w:val="006B7023"/>
    <w:rsid w:val="006C0711"/>
    <w:rsid w:val="006C0F08"/>
    <w:rsid w:val="006C6B41"/>
    <w:rsid w:val="006D01B6"/>
    <w:rsid w:val="006D05F9"/>
    <w:rsid w:val="006D195D"/>
    <w:rsid w:val="006D1C57"/>
    <w:rsid w:val="006D47BA"/>
    <w:rsid w:val="006D6919"/>
    <w:rsid w:val="006E1D1C"/>
    <w:rsid w:val="006E1E12"/>
    <w:rsid w:val="006E411E"/>
    <w:rsid w:val="006E4915"/>
    <w:rsid w:val="006E5DED"/>
    <w:rsid w:val="006E64A5"/>
    <w:rsid w:val="006E77E0"/>
    <w:rsid w:val="006F0A3F"/>
    <w:rsid w:val="006F0DCB"/>
    <w:rsid w:val="006F0EDA"/>
    <w:rsid w:val="006F3100"/>
    <w:rsid w:val="006F3914"/>
    <w:rsid w:val="006F3A8F"/>
    <w:rsid w:val="006F3D1B"/>
    <w:rsid w:val="0070113F"/>
    <w:rsid w:val="0070127F"/>
    <w:rsid w:val="0070169A"/>
    <w:rsid w:val="007018BA"/>
    <w:rsid w:val="0070246B"/>
    <w:rsid w:val="007030AA"/>
    <w:rsid w:val="00704D09"/>
    <w:rsid w:val="00706922"/>
    <w:rsid w:val="00706C3E"/>
    <w:rsid w:val="00707299"/>
    <w:rsid w:val="0071000D"/>
    <w:rsid w:val="00710BA9"/>
    <w:rsid w:val="00711528"/>
    <w:rsid w:val="00711F64"/>
    <w:rsid w:val="00712D73"/>
    <w:rsid w:val="00715209"/>
    <w:rsid w:val="0071551E"/>
    <w:rsid w:val="007165BB"/>
    <w:rsid w:val="00717429"/>
    <w:rsid w:val="0071790C"/>
    <w:rsid w:val="00720B64"/>
    <w:rsid w:val="00722622"/>
    <w:rsid w:val="00722BF8"/>
    <w:rsid w:val="00723603"/>
    <w:rsid w:val="007243D9"/>
    <w:rsid w:val="0072665F"/>
    <w:rsid w:val="0072669B"/>
    <w:rsid w:val="0073037D"/>
    <w:rsid w:val="007303FC"/>
    <w:rsid w:val="007310CD"/>
    <w:rsid w:val="00733CC8"/>
    <w:rsid w:val="00740E99"/>
    <w:rsid w:val="00741030"/>
    <w:rsid w:val="00741446"/>
    <w:rsid w:val="007425B0"/>
    <w:rsid w:val="0074283F"/>
    <w:rsid w:val="00743119"/>
    <w:rsid w:val="007467D7"/>
    <w:rsid w:val="00747008"/>
    <w:rsid w:val="00747271"/>
    <w:rsid w:val="00750CE1"/>
    <w:rsid w:val="007545D2"/>
    <w:rsid w:val="00756126"/>
    <w:rsid w:val="00756E18"/>
    <w:rsid w:val="00757383"/>
    <w:rsid w:val="007576AD"/>
    <w:rsid w:val="00760222"/>
    <w:rsid w:val="0076135F"/>
    <w:rsid w:val="007615A9"/>
    <w:rsid w:val="00762745"/>
    <w:rsid w:val="00763C27"/>
    <w:rsid w:val="00764476"/>
    <w:rsid w:val="00764E83"/>
    <w:rsid w:val="00766595"/>
    <w:rsid w:val="00766DDB"/>
    <w:rsid w:val="00767456"/>
    <w:rsid w:val="0077057E"/>
    <w:rsid w:val="0077167C"/>
    <w:rsid w:val="00773DA1"/>
    <w:rsid w:val="007743FE"/>
    <w:rsid w:val="00775A55"/>
    <w:rsid w:val="00775E68"/>
    <w:rsid w:val="00777193"/>
    <w:rsid w:val="00777577"/>
    <w:rsid w:val="00777C41"/>
    <w:rsid w:val="0078150F"/>
    <w:rsid w:val="00782ECF"/>
    <w:rsid w:val="00784071"/>
    <w:rsid w:val="00785821"/>
    <w:rsid w:val="00785D7D"/>
    <w:rsid w:val="007864FB"/>
    <w:rsid w:val="00786B68"/>
    <w:rsid w:val="0078755C"/>
    <w:rsid w:val="00791685"/>
    <w:rsid w:val="007926E6"/>
    <w:rsid w:val="00793712"/>
    <w:rsid w:val="00793829"/>
    <w:rsid w:val="007954CE"/>
    <w:rsid w:val="00796EA9"/>
    <w:rsid w:val="00797858"/>
    <w:rsid w:val="00797B0D"/>
    <w:rsid w:val="007A0FD3"/>
    <w:rsid w:val="007A2278"/>
    <w:rsid w:val="007A2BC9"/>
    <w:rsid w:val="007A2E4B"/>
    <w:rsid w:val="007A3E9F"/>
    <w:rsid w:val="007A42B7"/>
    <w:rsid w:val="007A5E5C"/>
    <w:rsid w:val="007A6219"/>
    <w:rsid w:val="007A6F9E"/>
    <w:rsid w:val="007B0E90"/>
    <w:rsid w:val="007B2127"/>
    <w:rsid w:val="007B2EC1"/>
    <w:rsid w:val="007B3CF6"/>
    <w:rsid w:val="007B773B"/>
    <w:rsid w:val="007C04BD"/>
    <w:rsid w:val="007C091F"/>
    <w:rsid w:val="007C0B3E"/>
    <w:rsid w:val="007C0B46"/>
    <w:rsid w:val="007C0F0F"/>
    <w:rsid w:val="007C0F85"/>
    <w:rsid w:val="007C1642"/>
    <w:rsid w:val="007C29E3"/>
    <w:rsid w:val="007C29E6"/>
    <w:rsid w:val="007C2D20"/>
    <w:rsid w:val="007C457D"/>
    <w:rsid w:val="007C4E32"/>
    <w:rsid w:val="007C56ED"/>
    <w:rsid w:val="007C5F64"/>
    <w:rsid w:val="007D1C9C"/>
    <w:rsid w:val="007D2538"/>
    <w:rsid w:val="007D254B"/>
    <w:rsid w:val="007D290B"/>
    <w:rsid w:val="007D2E42"/>
    <w:rsid w:val="007D385D"/>
    <w:rsid w:val="007D39EF"/>
    <w:rsid w:val="007D3B00"/>
    <w:rsid w:val="007D3E1D"/>
    <w:rsid w:val="007D4E1B"/>
    <w:rsid w:val="007D5F57"/>
    <w:rsid w:val="007D6401"/>
    <w:rsid w:val="007D6E7D"/>
    <w:rsid w:val="007D7EA7"/>
    <w:rsid w:val="007E1FA1"/>
    <w:rsid w:val="007E2146"/>
    <w:rsid w:val="007E55AB"/>
    <w:rsid w:val="007E663F"/>
    <w:rsid w:val="007E7146"/>
    <w:rsid w:val="007E7947"/>
    <w:rsid w:val="007F1AE9"/>
    <w:rsid w:val="007F1CAD"/>
    <w:rsid w:val="007F2B58"/>
    <w:rsid w:val="007F2C3D"/>
    <w:rsid w:val="007F3BE0"/>
    <w:rsid w:val="007F409D"/>
    <w:rsid w:val="007F4259"/>
    <w:rsid w:val="007F635E"/>
    <w:rsid w:val="007F768D"/>
    <w:rsid w:val="00800479"/>
    <w:rsid w:val="00801414"/>
    <w:rsid w:val="008016DE"/>
    <w:rsid w:val="008016F1"/>
    <w:rsid w:val="008020B4"/>
    <w:rsid w:val="008025A0"/>
    <w:rsid w:val="00802792"/>
    <w:rsid w:val="00802DB7"/>
    <w:rsid w:val="00805DCB"/>
    <w:rsid w:val="00806651"/>
    <w:rsid w:val="00807ABC"/>
    <w:rsid w:val="00810C87"/>
    <w:rsid w:val="008131C4"/>
    <w:rsid w:val="00813A43"/>
    <w:rsid w:val="00814019"/>
    <w:rsid w:val="008150C7"/>
    <w:rsid w:val="00815471"/>
    <w:rsid w:val="008170E7"/>
    <w:rsid w:val="008205D5"/>
    <w:rsid w:val="00821096"/>
    <w:rsid w:val="00821A82"/>
    <w:rsid w:val="00822BD5"/>
    <w:rsid w:val="00822DEF"/>
    <w:rsid w:val="00822E82"/>
    <w:rsid w:val="00823B92"/>
    <w:rsid w:val="00826612"/>
    <w:rsid w:val="008266C2"/>
    <w:rsid w:val="008267F5"/>
    <w:rsid w:val="00826DB7"/>
    <w:rsid w:val="008275C7"/>
    <w:rsid w:val="008276A2"/>
    <w:rsid w:val="00830D92"/>
    <w:rsid w:val="00830FDF"/>
    <w:rsid w:val="008332C9"/>
    <w:rsid w:val="00833942"/>
    <w:rsid w:val="00833AFC"/>
    <w:rsid w:val="008414F7"/>
    <w:rsid w:val="00843E23"/>
    <w:rsid w:val="0084458D"/>
    <w:rsid w:val="008446F7"/>
    <w:rsid w:val="0084520F"/>
    <w:rsid w:val="008462D0"/>
    <w:rsid w:val="0085012C"/>
    <w:rsid w:val="0085118C"/>
    <w:rsid w:val="00851A86"/>
    <w:rsid w:val="00851C19"/>
    <w:rsid w:val="00853504"/>
    <w:rsid w:val="00854761"/>
    <w:rsid w:val="00855082"/>
    <w:rsid w:val="00856BFB"/>
    <w:rsid w:val="00860B0A"/>
    <w:rsid w:val="00860D65"/>
    <w:rsid w:val="00862CB1"/>
    <w:rsid w:val="008634A2"/>
    <w:rsid w:val="00863609"/>
    <w:rsid w:val="008655E1"/>
    <w:rsid w:val="00866D34"/>
    <w:rsid w:val="00867484"/>
    <w:rsid w:val="0087248C"/>
    <w:rsid w:val="0087368D"/>
    <w:rsid w:val="008739F5"/>
    <w:rsid w:val="00874DCB"/>
    <w:rsid w:val="008763FB"/>
    <w:rsid w:val="008766BC"/>
    <w:rsid w:val="00876BF0"/>
    <w:rsid w:val="0087720C"/>
    <w:rsid w:val="008807F8"/>
    <w:rsid w:val="0088209B"/>
    <w:rsid w:val="00882113"/>
    <w:rsid w:val="0088434E"/>
    <w:rsid w:val="00884C8E"/>
    <w:rsid w:val="00885541"/>
    <w:rsid w:val="00887A02"/>
    <w:rsid w:val="00890585"/>
    <w:rsid w:val="008913BB"/>
    <w:rsid w:val="00891E47"/>
    <w:rsid w:val="0089271D"/>
    <w:rsid w:val="008946B3"/>
    <w:rsid w:val="008966E6"/>
    <w:rsid w:val="008A0B34"/>
    <w:rsid w:val="008A2042"/>
    <w:rsid w:val="008A34D7"/>
    <w:rsid w:val="008A385B"/>
    <w:rsid w:val="008A39D9"/>
    <w:rsid w:val="008A554E"/>
    <w:rsid w:val="008A56BC"/>
    <w:rsid w:val="008A6C75"/>
    <w:rsid w:val="008A78B7"/>
    <w:rsid w:val="008B27E9"/>
    <w:rsid w:val="008B28E3"/>
    <w:rsid w:val="008B6C56"/>
    <w:rsid w:val="008C1052"/>
    <w:rsid w:val="008C1497"/>
    <w:rsid w:val="008C1705"/>
    <w:rsid w:val="008C2071"/>
    <w:rsid w:val="008C30CF"/>
    <w:rsid w:val="008C6C6F"/>
    <w:rsid w:val="008C7109"/>
    <w:rsid w:val="008D0FE0"/>
    <w:rsid w:val="008D4A70"/>
    <w:rsid w:val="008D4D01"/>
    <w:rsid w:val="008D5839"/>
    <w:rsid w:val="008D7126"/>
    <w:rsid w:val="008D724E"/>
    <w:rsid w:val="008D7D00"/>
    <w:rsid w:val="008E0B1B"/>
    <w:rsid w:val="008E0E39"/>
    <w:rsid w:val="008E1652"/>
    <w:rsid w:val="008E2340"/>
    <w:rsid w:val="008E2AF6"/>
    <w:rsid w:val="008E3E25"/>
    <w:rsid w:val="008E428D"/>
    <w:rsid w:val="008E4F9C"/>
    <w:rsid w:val="008E5681"/>
    <w:rsid w:val="008E58D9"/>
    <w:rsid w:val="008E5A74"/>
    <w:rsid w:val="008E6668"/>
    <w:rsid w:val="008E71DB"/>
    <w:rsid w:val="008F04EF"/>
    <w:rsid w:val="008F083F"/>
    <w:rsid w:val="008F0ECE"/>
    <w:rsid w:val="008F2110"/>
    <w:rsid w:val="008F2862"/>
    <w:rsid w:val="008F3A0C"/>
    <w:rsid w:val="008F4BB3"/>
    <w:rsid w:val="008F5A3F"/>
    <w:rsid w:val="008F74B1"/>
    <w:rsid w:val="00901015"/>
    <w:rsid w:val="0090286C"/>
    <w:rsid w:val="00903AFA"/>
    <w:rsid w:val="00904237"/>
    <w:rsid w:val="00905515"/>
    <w:rsid w:val="009065FF"/>
    <w:rsid w:val="00906F09"/>
    <w:rsid w:val="00907A2D"/>
    <w:rsid w:val="00910F1B"/>
    <w:rsid w:val="00910F3B"/>
    <w:rsid w:val="0091179F"/>
    <w:rsid w:val="00912FF8"/>
    <w:rsid w:val="00916B0B"/>
    <w:rsid w:val="009176EB"/>
    <w:rsid w:val="00917A90"/>
    <w:rsid w:val="009204BD"/>
    <w:rsid w:val="00922CE1"/>
    <w:rsid w:val="0092343A"/>
    <w:rsid w:val="00923808"/>
    <w:rsid w:val="009257EC"/>
    <w:rsid w:val="009259DF"/>
    <w:rsid w:val="009278D5"/>
    <w:rsid w:val="00927F56"/>
    <w:rsid w:val="00927F9E"/>
    <w:rsid w:val="0093221E"/>
    <w:rsid w:val="00932610"/>
    <w:rsid w:val="009331F7"/>
    <w:rsid w:val="00933585"/>
    <w:rsid w:val="00934013"/>
    <w:rsid w:val="00934419"/>
    <w:rsid w:val="009355CD"/>
    <w:rsid w:val="00936A4E"/>
    <w:rsid w:val="0093794A"/>
    <w:rsid w:val="00941A61"/>
    <w:rsid w:val="00941B1E"/>
    <w:rsid w:val="00944D4D"/>
    <w:rsid w:val="0094544E"/>
    <w:rsid w:val="00946C9F"/>
    <w:rsid w:val="009513F1"/>
    <w:rsid w:val="00951683"/>
    <w:rsid w:val="00952EE4"/>
    <w:rsid w:val="00955781"/>
    <w:rsid w:val="00956EA2"/>
    <w:rsid w:val="00960DBB"/>
    <w:rsid w:val="00960EA4"/>
    <w:rsid w:val="00961D0F"/>
    <w:rsid w:val="009628BF"/>
    <w:rsid w:val="00962FFE"/>
    <w:rsid w:val="0096668B"/>
    <w:rsid w:val="00970212"/>
    <w:rsid w:val="0097053E"/>
    <w:rsid w:val="00970EA1"/>
    <w:rsid w:val="00973C77"/>
    <w:rsid w:val="0097450F"/>
    <w:rsid w:val="00974684"/>
    <w:rsid w:val="00974DA5"/>
    <w:rsid w:val="009756D4"/>
    <w:rsid w:val="00976561"/>
    <w:rsid w:val="00977E03"/>
    <w:rsid w:val="00981B84"/>
    <w:rsid w:val="00982092"/>
    <w:rsid w:val="009829CD"/>
    <w:rsid w:val="009835F5"/>
    <w:rsid w:val="0098438A"/>
    <w:rsid w:val="00985147"/>
    <w:rsid w:val="00985B7C"/>
    <w:rsid w:val="00986809"/>
    <w:rsid w:val="0098684D"/>
    <w:rsid w:val="009907EC"/>
    <w:rsid w:val="00990979"/>
    <w:rsid w:val="00991433"/>
    <w:rsid w:val="00991757"/>
    <w:rsid w:val="009922C9"/>
    <w:rsid w:val="00993892"/>
    <w:rsid w:val="009943B0"/>
    <w:rsid w:val="009947CA"/>
    <w:rsid w:val="00994FD3"/>
    <w:rsid w:val="009950E9"/>
    <w:rsid w:val="00995C95"/>
    <w:rsid w:val="00996999"/>
    <w:rsid w:val="009975B5"/>
    <w:rsid w:val="00997B70"/>
    <w:rsid w:val="00997D76"/>
    <w:rsid w:val="009A15D5"/>
    <w:rsid w:val="009A1FFE"/>
    <w:rsid w:val="009A245A"/>
    <w:rsid w:val="009A2484"/>
    <w:rsid w:val="009A29DD"/>
    <w:rsid w:val="009A328D"/>
    <w:rsid w:val="009A3F73"/>
    <w:rsid w:val="009A669F"/>
    <w:rsid w:val="009A6E14"/>
    <w:rsid w:val="009A70CC"/>
    <w:rsid w:val="009B0173"/>
    <w:rsid w:val="009B2796"/>
    <w:rsid w:val="009B2C1B"/>
    <w:rsid w:val="009B509B"/>
    <w:rsid w:val="009C19D2"/>
    <w:rsid w:val="009C375E"/>
    <w:rsid w:val="009C3F48"/>
    <w:rsid w:val="009C526A"/>
    <w:rsid w:val="009C6BDC"/>
    <w:rsid w:val="009C73FD"/>
    <w:rsid w:val="009C77EF"/>
    <w:rsid w:val="009C7EDA"/>
    <w:rsid w:val="009D3702"/>
    <w:rsid w:val="009D3DEA"/>
    <w:rsid w:val="009D54B6"/>
    <w:rsid w:val="009D640E"/>
    <w:rsid w:val="009E3236"/>
    <w:rsid w:val="009E44D7"/>
    <w:rsid w:val="009E48FA"/>
    <w:rsid w:val="009E55F7"/>
    <w:rsid w:val="009E5ED9"/>
    <w:rsid w:val="009E651B"/>
    <w:rsid w:val="009E7965"/>
    <w:rsid w:val="009F0D43"/>
    <w:rsid w:val="009F3321"/>
    <w:rsid w:val="009F40CF"/>
    <w:rsid w:val="009F4A0A"/>
    <w:rsid w:val="00A00C86"/>
    <w:rsid w:val="00A02CDF"/>
    <w:rsid w:val="00A0340A"/>
    <w:rsid w:val="00A03C2E"/>
    <w:rsid w:val="00A04474"/>
    <w:rsid w:val="00A044A4"/>
    <w:rsid w:val="00A0515A"/>
    <w:rsid w:val="00A05317"/>
    <w:rsid w:val="00A076B6"/>
    <w:rsid w:val="00A10939"/>
    <w:rsid w:val="00A1274D"/>
    <w:rsid w:val="00A13101"/>
    <w:rsid w:val="00A1453D"/>
    <w:rsid w:val="00A1615A"/>
    <w:rsid w:val="00A164F4"/>
    <w:rsid w:val="00A22948"/>
    <w:rsid w:val="00A30547"/>
    <w:rsid w:val="00A309F0"/>
    <w:rsid w:val="00A313FB"/>
    <w:rsid w:val="00A32633"/>
    <w:rsid w:val="00A32A33"/>
    <w:rsid w:val="00A33FE7"/>
    <w:rsid w:val="00A40323"/>
    <w:rsid w:val="00A4073B"/>
    <w:rsid w:val="00A412DF"/>
    <w:rsid w:val="00A42EBE"/>
    <w:rsid w:val="00A442F5"/>
    <w:rsid w:val="00A444D7"/>
    <w:rsid w:val="00A446EE"/>
    <w:rsid w:val="00A44F4A"/>
    <w:rsid w:val="00A450CD"/>
    <w:rsid w:val="00A45780"/>
    <w:rsid w:val="00A46B6A"/>
    <w:rsid w:val="00A50879"/>
    <w:rsid w:val="00A52372"/>
    <w:rsid w:val="00A530EF"/>
    <w:rsid w:val="00A54089"/>
    <w:rsid w:val="00A56C1A"/>
    <w:rsid w:val="00A5712D"/>
    <w:rsid w:val="00A57DDF"/>
    <w:rsid w:val="00A63B91"/>
    <w:rsid w:val="00A6513B"/>
    <w:rsid w:val="00A6553D"/>
    <w:rsid w:val="00A67B16"/>
    <w:rsid w:val="00A71DE1"/>
    <w:rsid w:val="00A7226B"/>
    <w:rsid w:val="00A72B4E"/>
    <w:rsid w:val="00A738FD"/>
    <w:rsid w:val="00A7401D"/>
    <w:rsid w:val="00A74F16"/>
    <w:rsid w:val="00A7538D"/>
    <w:rsid w:val="00A7592E"/>
    <w:rsid w:val="00A770C8"/>
    <w:rsid w:val="00A775F3"/>
    <w:rsid w:val="00A77B00"/>
    <w:rsid w:val="00A805AA"/>
    <w:rsid w:val="00A80C28"/>
    <w:rsid w:val="00A80F18"/>
    <w:rsid w:val="00A81EF4"/>
    <w:rsid w:val="00A81EFB"/>
    <w:rsid w:val="00A82533"/>
    <w:rsid w:val="00A8259A"/>
    <w:rsid w:val="00A83C3F"/>
    <w:rsid w:val="00A849AC"/>
    <w:rsid w:val="00A86026"/>
    <w:rsid w:val="00A865C9"/>
    <w:rsid w:val="00A87376"/>
    <w:rsid w:val="00A90554"/>
    <w:rsid w:val="00A90FFD"/>
    <w:rsid w:val="00A93E4E"/>
    <w:rsid w:val="00A942D5"/>
    <w:rsid w:val="00A947AE"/>
    <w:rsid w:val="00A94C28"/>
    <w:rsid w:val="00A9529A"/>
    <w:rsid w:val="00A96FC6"/>
    <w:rsid w:val="00AA173A"/>
    <w:rsid w:val="00AA191D"/>
    <w:rsid w:val="00AA2056"/>
    <w:rsid w:val="00AA217E"/>
    <w:rsid w:val="00AA23E9"/>
    <w:rsid w:val="00AA3505"/>
    <w:rsid w:val="00AA3778"/>
    <w:rsid w:val="00AA5F3E"/>
    <w:rsid w:val="00AA6759"/>
    <w:rsid w:val="00AB0722"/>
    <w:rsid w:val="00AB0ABC"/>
    <w:rsid w:val="00AB1804"/>
    <w:rsid w:val="00AB1AB5"/>
    <w:rsid w:val="00AB21EB"/>
    <w:rsid w:val="00AB25DA"/>
    <w:rsid w:val="00AB283F"/>
    <w:rsid w:val="00AB33A2"/>
    <w:rsid w:val="00AB346B"/>
    <w:rsid w:val="00AB38CA"/>
    <w:rsid w:val="00AB54EF"/>
    <w:rsid w:val="00AB5902"/>
    <w:rsid w:val="00AB5E2C"/>
    <w:rsid w:val="00AB627F"/>
    <w:rsid w:val="00AB62E5"/>
    <w:rsid w:val="00AB7AFC"/>
    <w:rsid w:val="00AC0E1D"/>
    <w:rsid w:val="00AC0E24"/>
    <w:rsid w:val="00AC1228"/>
    <w:rsid w:val="00AC33C1"/>
    <w:rsid w:val="00AD134F"/>
    <w:rsid w:val="00AD2FC8"/>
    <w:rsid w:val="00AD47EA"/>
    <w:rsid w:val="00AD5B7A"/>
    <w:rsid w:val="00AE1106"/>
    <w:rsid w:val="00AE285D"/>
    <w:rsid w:val="00AE30B0"/>
    <w:rsid w:val="00AE5D28"/>
    <w:rsid w:val="00AE6C7F"/>
    <w:rsid w:val="00AE709B"/>
    <w:rsid w:val="00AF43BC"/>
    <w:rsid w:val="00AF4A20"/>
    <w:rsid w:val="00AF57D7"/>
    <w:rsid w:val="00AF6E9B"/>
    <w:rsid w:val="00AF755C"/>
    <w:rsid w:val="00AF7583"/>
    <w:rsid w:val="00B00079"/>
    <w:rsid w:val="00B00225"/>
    <w:rsid w:val="00B01471"/>
    <w:rsid w:val="00B0163E"/>
    <w:rsid w:val="00B02067"/>
    <w:rsid w:val="00B03295"/>
    <w:rsid w:val="00B04396"/>
    <w:rsid w:val="00B066E0"/>
    <w:rsid w:val="00B06869"/>
    <w:rsid w:val="00B12F37"/>
    <w:rsid w:val="00B138FD"/>
    <w:rsid w:val="00B14367"/>
    <w:rsid w:val="00B147BF"/>
    <w:rsid w:val="00B14E39"/>
    <w:rsid w:val="00B16846"/>
    <w:rsid w:val="00B21589"/>
    <w:rsid w:val="00B2212B"/>
    <w:rsid w:val="00B23003"/>
    <w:rsid w:val="00B23DCB"/>
    <w:rsid w:val="00B23FFD"/>
    <w:rsid w:val="00B2430F"/>
    <w:rsid w:val="00B24D8A"/>
    <w:rsid w:val="00B331F8"/>
    <w:rsid w:val="00B36CEE"/>
    <w:rsid w:val="00B41DF6"/>
    <w:rsid w:val="00B41EF6"/>
    <w:rsid w:val="00B41F92"/>
    <w:rsid w:val="00B43214"/>
    <w:rsid w:val="00B471E4"/>
    <w:rsid w:val="00B471F9"/>
    <w:rsid w:val="00B5121E"/>
    <w:rsid w:val="00B526F1"/>
    <w:rsid w:val="00B52A8A"/>
    <w:rsid w:val="00B538F6"/>
    <w:rsid w:val="00B53ECC"/>
    <w:rsid w:val="00B55506"/>
    <w:rsid w:val="00B55594"/>
    <w:rsid w:val="00B558D9"/>
    <w:rsid w:val="00B56706"/>
    <w:rsid w:val="00B60CCD"/>
    <w:rsid w:val="00B62533"/>
    <w:rsid w:val="00B65EDD"/>
    <w:rsid w:val="00B67BBB"/>
    <w:rsid w:val="00B70807"/>
    <w:rsid w:val="00B741F3"/>
    <w:rsid w:val="00B7658F"/>
    <w:rsid w:val="00B7671A"/>
    <w:rsid w:val="00B80726"/>
    <w:rsid w:val="00B8139C"/>
    <w:rsid w:val="00B8234A"/>
    <w:rsid w:val="00B826F5"/>
    <w:rsid w:val="00B82885"/>
    <w:rsid w:val="00B82E8C"/>
    <w:rsid w:val="00B8446F"/>
    <w:rsid w:val="00B856F8"/>
    <w:rsid w:val="00B85D30"/>
    <w:rsid w:val="00B869B3"/>
    <w:rsid w:val="00B86C27"/>
    <w:rsid w:val="00B90170"/>
    <w:rsid w:val="00B9114D"/>
    <w:rsid w:val="00B9121C"/>
    <w:rsid w:val="00B928D8"/>
    <w:rsid w:val="00B94163"/>
    <w:rsid w:val="00B943AD"/>
    <w:rsid w:val="00B9533B"/>
    <w:rsid w:val="00B9564C"/>
    <w:rsid w:val="00B965D2"/>
    <w:rsid w:val="00B967FE"/>
    <w:rsid w:val="00B96A71"/>
    <w:rsid w:val="00B96F41"/>
    <w:rsid w:val="00B9745C"/>
    <w:rsid w:val="00B97F9A"/>
    <w:rsid w:val="00BA0CB1"/>
    <w:rsid w:val="00BA0E87"/>
    <w:rsid w:val="00BA202A"/>
    <w:rsid w:val="00BA354C"/>
    <w:rsid w:val="00BA3627"/>
    <w:rsid w:val="00BA512A"/>
    <w:rsid w:val="00BA5A52"/>
    <w:rsid w:val="00BA6377"/>
    <w:rsid w:val="00BA6C5E"/>
    <w:rsid w:val="00BA7132"/>
    <w:rsid w:val="00BA7B80"/>
    <w:rsid w:val="00BB210D"/>
    <w:rsid w:val="00BB2649"/>
    <w:rsid w:val="00BB2D7E"/>
    <w:rsid w:val="00BB5964"/>
    <w:rsid w:val="00BC1ECF"/>
    <w:rsid w:val="00BC3682"/>
    <w:rsid w:val="00BC40FE"/>
    <w:rsid w:val="00BC66B9"/>
    <w:rsid w:val="00BC70BF"/>
    <w:rsid w:val="00BC7394"/>
    <w:rsid w:val="00BD09F8"/>
    <w:rsid w:val="00BD1E66"/>
    <w:rsid w:val="00BD31D1"/>
    <w:rsid w:val="00BD4046"/>
    <w:rsid w:val="00BD4470"/>
    <w:rsid w:val="00BD657A"/>
    <w:rsid w:val="00BD6C42"/>
    <w:rsid w:val="00BD7063"/>
    <w:rsid w:val="00BE1901"/>
    <w:rsid w:val="00BE30BE"/>
    <w:rsid w:val="00BE31BB"/>
    <w:rsid w:val="00BE4116"/>
    <w:rsid w:val="00BE48B9"/>
    <w:rsid w:val="00BE4EAE"/>
    <w:rsid w:val="00BE4FF5"/>
    <w:rsid w:val="00BE5B85"/>
    <w:rsid w:val="00BE6AA8"/>
    <w:rsid w:val="00BE7CEE"/>
    <w:rsid w:val="00BF04D0"/>
    <w:rsid w:val="00BF1A4E"/>
    <w:rsid w:val="00BF33FA"/>
    <w:rsid w:val="00BF35BD"/>
    <w:rsid w:val="00BF4F49"/>
    <w:rsid w:val="00BF5AAE"/>
    <w:rsid w:val="00BF788D"/>
    <w:rsid w:val="00BF7B1C"/>
    <w:rsid w:val="00BF7E7C"/>
    <w:rsid w:val="00C00021"/>
    <w:rsid w:val="00C0003C"/>
    <w:rsid w:val="00C008FF"/>
    <w:rsid w:val="00C00D7E"/>
    <w:rsid w:val="00C0260E"/>
    <w:rsid w:val="00C02B96"/>
    <w:rsid w:val="00C039A0"/>
    <w:rsid w:val="00C04F74"/>
    <w:rsid w:val="00C057EA"/>
    <w:rsid w:val="00C06ECF"/>
    <w:rsid w:val="00C113E6"/>
    <w:rsid w:val="00C11668"/>
    <w:rsid w:val="00C119A0"/>
    <w:rsid w:val="00C12368"/>
    <w:rsid w:val="00C1316E"/>
    <w:rsid w:val="00C157B2"/>
    <w:rsid w:val="00C173EE"/>
    <w:rsid w:val="00C17CF6"/>
    <w:rsid w:val="00C206DF"/>
    <w:rsid w:val="00C22064"/>
    <w:rsid w:val="00C223A9"/>
    <w:rsid w:val="00C2261C"/>
    <w:rsid w:val="00C23EA5"/>
    <w:rsid w:val="00C26C79"/>
    <w:rsid w:val="00C30AC4"/>
    <w:rsid w:val="00C32D31"/>
    <w:rsid w:val="00C32F1C"/>
    <w:rsid w:val="00C37CD8"/>
    <w:rsid w:val="00C40A95"/>
    <w:rsid w:val="00C418E2"/>
    <w:rsid w:val="00C42354"/>
    <w:rsid w:val="00C428C3"/>
    <w:rsid w:val="00C42D11"/>
    <w:rsid w:val="00C43DC9"/>
    <w:rsid w:val="00C474C5"/>
    <w:rsid w:val="00C47C27"/>
    <w:rsid w:val="00C51101"/>
    <w:rsid w:val="00C52407"/>
    <w:rsid w:val="00C52ABF"/>
    <w:rsid w:val="00C52AD8"/>
    <w:rsid w:val="00C5387A"/>
    <w:rsid w:val="00C54AB2"/>
    <w:rsid w:val="00C54EB1"/>
    <w:rsid w:val="00C558D4"/>
    <w:rsid w:val="00C55B6B"/>
    <w:rsid w:val="00C55BB8"/>
    <w:rsid w:val="00C611A4"/>
    <w:rsid w:val="00C62A49"/>
    <w:rsid w:val="00C630EB"/>
    <w:rsid w:val="00C6414E"/>
    <w:rsid w:val="00C667AE"/>
    <w:rsid w:val="00C67367"/>
    <w:rsid w:val="00C67649"/>
    <w:rsid w:val="00C70888"/>
    <w:rsid w:val="00C718BD"/>
    <w:rsid w:val="00C731C9"/>
    <w:rsid w:val="00C7441A"/>
    <w:rsid w:val="00C75A2A"/>
    <w:rsid w:val="00C75D22"/>
    <w:rsid w:val="00C80E2C"/>
    <w:rsid w:val="00C82BF8"/>
    <w:rsid w:val="00C8352B"/>
    <w:rsid w:val="00C837BF"/>
    <w:rsid w:val="00C84030"/>
    <w:rsid w:val="00C843B7"/>
    <w:rsid w:val="00C850CE"/>
    <w:rsid w:val="00C861D4"/>
    <w:rsid w:val="00C86246"/>
    <w:rsid w:val="00C8640C"/>
    <w:rsid w:val="00C8647B"/>
    <w:rsid w:val="00C87C1F"/>
    <w:rsid w:val="00C87EA1"/>
    <w:rsid w:val="00C91747"/>
    <w:rsid w:val="00C92163"/>
    <w:rsid w:val="00C9250C"/>
    <w:rsid w:val="00C93DC7"/>
    <w:rsid w:val="00C9470F"/>
    <w:rsid w:val="00C9476A"/>
    <w:rsid w:val="00C95B82"/>
    <w:rsid w:val="00C95BC7"/>
    <w:rsid w:val="00C96054"/>
    <w:rsid w:val="00C96299"/>
    <w:rsid w:val="00C97C97"/>
    <w:rsid w:val="00CA015A"/>
    <w:rsid w:val="00CA1652"/>
    <w:rsid w:val="00CA16B5"/>
    <w:rsid w:val="00CA1E29"/>
    <w:rsid w:val="00CA2CEC"/>
    <w:rsid w:val="00CA3113"/>
    <w:rsid w:val="00CA3C29"/>
    <w:rsid w:val="00CA4CC8"/>
    <w:rsid w:val="00CA5B8D"/>
    <w:rsid w:val="00CB130D"/>
    <w:rsid w:val="00CB2048"/>
    <w:rsid w:val="00CB2E20"/>
    <w:rsid w:val="00CB30ED"/>
    <w:rsid w:val="00CB3BA0"/>
    <w:rsid w:val="00CB542E"/>
    <w:rsid w:val="00CB5F1B"/>
    <w:rsid w:val="00CB6747"/>
    <w:rsid w:val="00CB7266"/>
    <w:rsid w:val="00CB7684"/>
    <w:rsid w:val="00CC003C"/>
    <w:rsid w:val="00CC0D47"/>
    <w:rsid w:val="00CC5193"/>
    <w:rsid w:val="00CC5DF6"/>
    <w:rsid w:val="00CD1387"/>
    <w:rsid w:val="00CD2D18"/>
    <w:rsid w:val="00CD44FC"/>
    <w:rsid w:val="00CD520C"/>
    <w:rsid w:val="00CD5F2E"/>
    <w:rsid w:val="00CD6CBF"/>
    <w:rsid w:val="00CD76B4"/>
    <w:rsid w:val="00CE1797"/>
    <w:rsid w:val="00CE2AE0"/>
    <w:rsid w:val="00CE2F34"/>
    <w:rsid w:val="00CE4866"/>
    <w:rsid w:val="00CE48D3"/>
    <w:rsid w:val="00CE6132"/>
    <w:rsid w:val="00CE64A1"/>
    <w:rsid w:val="00CE7AC0"/>
    <w:rsid w:val="00CE7EFA"/>
    <w:rsid w:val="00CF1D93"/>
    <w:rsid w:val="00CF20D2"/>
    <w:rsid w:val="00CF2B46"/>
    <w:rsid w:val="00CF3931"/>
    <w:rsid w:val="00CF427E"/>
    <w:rsid w:val="00CF461A"/>
    <w:rsid w:val="00CF5F70"/>
    <w:rsid w:val="00CF6054"/>
    <w:rsid w:val="00CF66D4"/>
    <w:rsid w:val="00CF7719"/>
    <w:rsid w:val="00CF7E01"/>
    <w:rsid w:val="00D00575"/>
    <w:rsid w:val="00D00A65"/>
    <w:rsid w:val="00D00B6D"/>
    <w:rsid w:val="00D00F90"/>
    <w:rsid w:val="00D011AC"/>
    <w:rsid w:val="00D02B9D"/>
    <w:rsid w:val="00D135BF"/>
    <w:rsid w:val="00D15EE3"/>
    <w:rsid w:val="00D16806"/>
    <w:rsid w:val="00D17E04"/>
    <w:rsid w:val="00D213AB"/>
    <w:rsid w:val="00D2158C"/>
    <w:rsid w:val="00D22902"/>
    <w:rsid w:val="00D238AD"/>
    <w:rsid w:val="00D24DE3"/>
    <w:rsid w:val="00D265FA"/>
    <w:rsid w:val="00D3030B"/>
    <w:rsid w:val="00D31865"/>
    <w:rsid w:val="00D32D9A"/>
    <w:rsid w:val="00D347E4"/>
    <w:rsid w:val="00D3584B"/>
    <w:rsid w:val="00D366AD"/>
    <w:rsid w:val="00D3739E"/>
    <w:rsid w:val="00D40792"/>
    <w:rsid w:val="00D413D9"/>
    <w:rsid w:val="00D4329D"/>
    <w:rsid w:val="00D43FBF"/>
    <w:rsid w:val="00D44A18"/>
    <w:rsid w:val="00D44C65"/>
    <w:rsid w:val="00D45BA4"/>
    <w:rsid w:val="00D45F90"/>
    <w:rsid w:val="00D46F1E"/>
    <w:rsid w:val="00D50AD3"/>
    <w:rsid w:val="00D52182"/>
    <w:rsid w:val="00D52B07"/>
    <w:rsid w:val="00D5373E"/>
    <w:rsid w:val="00D53C57"/>
    <w:rsid w:val="00D56ADE"/>
    <w:rsid w:val="00D56ED6"/>
    <w:rsid w:val="00D56F66"/>
    <w:rsid w:val="00D600B9"/>
    <w:rsid w:val="00D60145"/>
    <w:rsid w:val="00D6138F"/>
    <w:rsid w:val="00D62004"/>
    <w:rsid w:val="00D6227B"/>
    <w:rsid w:val="00D628E7"/>
    <w:rsid w:val="00D62F9B"/>
    <w:rsid w:val="00D63F84"/>
    <w:rsid w:val="00D64742"/>
    <w:rsid w:val="00D64A92"/>
    <w:rsid w:val="00D64B6D"/>
    <w:rsid w:val="00D674E2"/>
    <w:rsid w:val="00D678FE"/>
    <w:rsid w:val="00D67916"/>
    <w:rsid w:val="00D679D1"/>
    <w:rsid w:val="00D70305"/>
    <w:rsid w:val="00D70C86"/>
    <w:rsid w:val="00D7152E"/>
    <w:rsid w:val="00D718AD"/>
    <w:rsid w:val="00D73968"/>
    <w:rsid w:val="00D73B5A"/>
    <w:rsid w:val="00D73B72"/>
    <w:rsid w:val="00D75E92"/>
    <w:rsid w:val="00D7600E"/>
    <w:rsid w:val="00D77C8D"/>
    <w:rsid w:val="00D77D22"/>
    <w:rsid w:val="00D806FE"/>
    <w:rsid w:val="00D80D58"/>
    <w:rsid w:val="00D81726"/>
    <w:rsid w:val="00D8178F"/>
    <w:rsid w:val="00D821A1"/>
    <w:rsid w:val="00D8264B"/>
    <w:rsid w:val="00D82719"/>
    <w:rsid w:val="00D82732"/>
    <w:rsid w:val="00D83363"/>
    <w:rsid w:val="00D8358F"/>
    <w:rsid w:val="00D858EA"/>
    <w:rsid w:val="00D86A15"/>
    <w:rsid w:val="00D878F2"/>
    <w:rsid w:val="00D87D02"/>
    <w:rsid w:val="00D90BB8"/>
    <w:rsid w:val="00D90CBE"/>
    <w:rsid w:val="00D91CB0"/>
    <w:rsid w:val="00D92BF6"/>
    <w:rsid w:val="00D93995"/>
    <w:rsid w:val="00D94586"/>
    <w:rsid w:val="00D951DD"/>
    <w:rsid w:val="00D96125"/>
    <w:rsid w:val="00DA1C3B"/>
    <w:rsid w:val="00DA2061"/>
    <w:rsid w:val="00DA23E7"/>
    <w:rsid w:val="00DA2606"/>
    <w:rsid w:val="00DA2B90"/>
    <w:rsid w:val="00DA3C32"/>
    <w:rsid w:val="00DA411B"/>
    <w:rsid w:val="00DA426C"/>
    <w:rsid w:val="00DA676B"/>
    <w:rsid w:val="00DB09EA"/>
    <w:rsid w:val="00DB28D4"/>
    <w:rsid w:val="00DB2A7C"/>
    <w:rsid w:val="00DB309C"/>
    <w:rsid w:val="00DB33D2"/>
    <w:rsid w:val="00DB4882"/>
    <w:rsid w:val="00DB4FAB"/>
    <w:rsid w:val="00DB5C5F"/>
    <w:rsid w:val="00DB60D5"/>
    <w:rsid w:val="00DB6AC6"/>
    <w:rsid w:val="00DC30F0"/>
    <w:rsid w:val="00DC436F"/>
    <w:rsid w:val="00DC575A"/>
    <w:rsid w:val="00DC6812"/>
    <w:rsid w:val="00DD0728"/>
    <w:rsid w:val="00DD10F6"/>
    <w:rsid w:val="00DD4BBB"/>
    <w:rsid w:val="00DD564B"/>
    <w:rsid w:val="00DD5776"/>
    <w:rsid w:val="00DD5986"/>
    <w:rsid w:val="00DE362C"/>
    <w:rsid w:val="00DE3E39"/>
    <w:rsid w:val="00DE5014"/>
    <w:rsid w:val="00DE5F65"/>
    <w:rsid w:val="00DE7ECF"/>
    <w:rsid w:val="00DF0ED7"/>
    <w:rsid w:val="00DF119B"/>
    <w:rsid w:val="00DF1D52"/>
    <w:rsid w:val="00DF223F"/>
    <w:rsid w:val="00DF24EE"/>
    <w:rsid w:val="00DF2936"/>
    <w:rsid w:val="00DF3764"/>
    <w:rsid w:val="00DF4E75"/>
    <w:rsid w:val="00DF63E1"/>
    <w:rsid w:val="00DF65C6"/>
    <w:rsid w:val="00DF7508"/>
    <w:rsid w:val="00DF7AEA"/>
    <w:rsid w:val="00E00127"/>
    <w:rsid w:val="00E001CD"/>
    <w:rsid w:val="00E00370"/>
    <w:rsid w:val="00E00EA9"/>
    <w:rsid w:val="00E018AF"/>
    <w:rsid w:val="00E03BA4"/>
    <w:rsid w:val="00E03F36"/>
    <w:rsid w:val="00E0465D"/>
    <w:rsid w:val="00E102DE"/>
    <w:rsid w:val="00E10903"/>
    <w:rsid w:val="00E10C41"/>
    <w:rsid w:val="00E118BC"/>
    <w:rsid w:val="00E12BB1"/>
    <w:rsid w:val="00E12EC5"/>
    <w:rsid w:val="00E139A9"/>
    <w:rsid w:val="00E147CB"/>
    <w:rsid w:val="00E15CBC"/>
    <w:rsid w:val="00E160EE"/>
    <w:rsid w:val="00E16CCF"/>
    <w:rsid w:val="00E172D3"/>
    <w:rsid w:val="00E17A3C"/>
    <w:rsid w:val="00E17B59"/>
    <w:rsid w:val="00E20100"/>
    <w:rsid w:val="00E21138"/>
    <w:rsid w:val="00E24554"/>
    <w:rsid w:val="00E24F7A"/>
    <w:rsid w:val="00E30A79"/>
    <w:rsid w:val="00E30B2B"/>
    <w:rsid w:val="00E30B54"/>
    <w:rsid w:val="00E314B0"/>
    <w:rsid w:val="00E323B8"/>
    <w:rsid w:val="00E32645"/>
    <w:rsid w:val="00E326B2"/>
    <w:rsid w:val="00E32F07"/>
    <w:rsid w:val="00E34524"/>
    <w:rsid w:val="00E348FE"/>
    <w:rsid w:val="00E34D04"/>
    <w:rsid w:val="00E35870"/>
    <w:rsid w:val="00E35885"/>
    <w:rsid w:val="00E40AAD"/>
    <w:rsid w:val="00E419B7"/>
    <w:rsid w:val="00E43906"/>
    <w:rsid w:val="00E446BD"/>
    <w:rsid w:val="00E45422"/>
    <w:rsid w:val="00E45EEC"/>
    <w:rsid w:val="00E46011"/>
    <w:rsid w:val="00E5068D"/>
    <w:rsid w:val="00E50774"/>
    <w:rsid w:val="00E51166"/>
    <w:rsid w:val="00E5238F"/>
    <w:rsid w:val="00E528A1"/>
    <w:rsid w:val="00E54922"/>
    <w:rsid w:val="00E5547D"/>
    <w:rsid w:val="00E555A9"/>
    <w:rsid w:val="00E56D2F"/>
    <w:rsid w:val="00E56D43"/>
    <w:rsid w:val="00E5744B"/>
    <w:rsid w:val="00E57BB3"/>
    <w:rsid w:val="00E57DE3"/>
    <w:rsid w:val="00E604C2"/>
    <w:rsid w:val="00E61B0A"/>
    <w:rsid w:val="00E6315C"/>
    <w:rsid w:val="00E638E0"/>
    <w:rsid w:val="00E63B7C"/>
    <w:rsid w:val="00E70513"/>
    <w:rsid w:val="00E7106F"/>
    <w:rsid w:val="00E7283B"/>
    <w:rsid w:val="00E73BAD"/>
    <w:rsid w:val="00E7457A"/>
    <w:rsid w:val="00E74626"/>
    <w:rsid w:val="00E765D6"/>
    <w:rsid w:val="00E8121D"/>
    <w:rsid w:val="00E827DE"/>
    <w:rsid w:val="00E82C99"/>
    <w:rsid w:val="00E8313A"/>
    <w:rsid w:val="00E83E12"/>
    <w:rsid w:val="00E8618B"/>
    <w:rsid w:val="00E86B8E"/>
    <w:rsid w:val="00E90032"/>
    <w:rsid w:val="00E913C0"/>
    <w:rsid w:val="00E9304A"/>
    <w:rsid w:val="00E9325E"/>
    <w:rsid w:val="00E934D4"/>
    <w:rsid w:val="00E9395D"/>
    <w:rsid w:val="00E93C7E"/>
    <w:rsid w:val="00E947DD"/>
    <w:rsid w:val="00E94C62"/>
    <w:rsid w:val="00EA0327"/>
    <w:rsid w:val="00EA0C46"/>
    <w:rsid w:val="00EA4A3E"/>
    <w:rsid w:val="00EA4F6F"/>
    <w:rsid w:val="00EA64FB"/>
    <w:rsid w:val="00EA7DB6"/>
    <w:rsid w:val="00EB0A03"/>
    <w:rsid w:val="00EB5C7C"/>
    <w:rsid w:val="00EB70B2"/>
    <w:rsid w:val="00EB799A"/>
    <w:rsid w:val="00EB7F7B"/>
    <w:rsid w:val="00EC033B"/>
    <w:rsid w:val="00EC0627"/>
    <w:rsid w:val="00EC25FC"/>
    <w:rsid w:val="00EC39BA"/>
    <w:rsid w:val="00EC74B4"/>
    <w:rsid w:val="00EC7841"/>
    <w:rsid w:val="00ED0A02"/>
    <w:rsid w:val="00ED0AB5"/>
    <w:rsid w:val="00ED151B"/>
    <w:rsid w:val="00ED534A"/>
    <w:rsid w:val="00ED6F39"/>
    <w:rsid w:val="00ED7301"/>
    <w:rsid w:val="00ED7DF2"/>
    <w:rsid w:val="00EE076E"/>
    <w:rsid w:val="00EE0C02"/>
    <w:rsid w:val="00EE2A92"/>
    <w:rsid w:val="00EE304B"/>
    <w:rsid w:val="00EE4F82"/>
    <w:rsid w:val="00EE5760"/>
    <w:rsid w:val="00EE590B"/>
    <w:rsid w:val="00EE5BBD"/>
    <w:rsid w:val="00EE68B1"/>
    <w:rsid w:val="00EE68EA"/>
    <w:rsid w:val="00EE787F"/>
    <w:rsid w:val="00EE7FA7"/>
    <w:rsid w:val="00EF0A2C"/>
    <w:rsid w:val="00EF4C01"/>
    <w:rsid w:val="00EF5A49"/>
    <w:rsid w:val="00EF5F8C"/>
    <w:rsid w:val="00EF6FDC"/>
    <w:rsid w:val="00EF7A04"/>
    <w:rsid w:val="00EF7F15"/>
    <w:rsid w:val="00F001C1"/>
    <w:rsid w:val="00F02254"/>
    <w:rsid w:val="00F0443F"/>
    <w:rsid w:val="00F071EC"/>
    <w:rsid w:val="00F107EB"/>
    <w:rsid w:val="00F12496"/>
    <w:rsid w:val="00F1258E"/>
    <w:rsid w:val="00F133B7"/>
    <w:rsid w:val="00F134C6"/>
    <w:rsid w:val="00F14177"/>
    <w:rsid w:val="00F146F3"/>
    <w:rsid w:val="00F14D9D"/>
    <w:rsid w:val="00F169E4"/>
    <w:rsid w:val="00F17582"/>
    <w:rsid w:val="00F17EC7"/>
    <w:rsid w:val="00F20C84"/>
    <w:rsid w:val="00F216B3"/>
    <w:rsid w:val="00F24D1C"/>
    <w:rsid w:val="00F25E4A"/>
    <w:rsid w:val="00F26DE9"/>
    <w:rsid w:val="00F27C1D"/>
    <w:rsid w:val="00F30649"/>
    <w:rsid w:val="00F31B0A"/>
    <w:rsid w:val="00F36FBB"/>
    <w:rsid w:val="00F37637"/>
    <w:rsid w:val="00F41455"/>
    <w:rsid w:val="00F434E9"/>
    <w:rsid w:val="00F46140"/>
    <w:rsid w:val="00F508E4"/>
    <w:rsid w:val="00F52F6C"/>
    <w:rsid w:val="00F537DF"/>
    <w:rsid w:val="00F5436F"/>
    <w:rsid w:val="00F54AA2"/>
    <w:rsid w:val="00F54BA9"/>
    <w:rsid w:val="00F55B78"/>
    <w:rsid w:val="00F57F16"/>
    <w:rsid w:val="00F62B46"/>
    <w:rsid w:val="00F65C96"/>
    <w:rsid w:val="00F661DF"/>
    <w:rsid w:val="00F709B2"/>
    <w:rsid w:val="00F7183D"/>
    <w:rsid w:val="00F71978"/>
    <w:rsid w:val="00F748E3"/>
    <w:rsid w:val="00F74C11"/>
    <w:rsid w:val="00F755C2"/>
    <w:rsid w:val="00F76D40"/>
    <w:rsid w:val="00F77457"/>
    <w:rsid w:val="00F8342A"/>
    <w:rsid w:val="00F83B0D"/>
    <w:rsid w:val="00F83F9D"/>
    <w:rsid w:val="00F84391"/>
    <w:rsid w:val="00F84B88"/>
    <w:rsid w:val="00F84E62"/>
    <w:rsid w:val="00F85797"/>
    <w:rsid w:val="00F85DA9"/>
    <w:rsid w:val="00F93802"/>
    <w:rsid w:val="00F93B98"/>
    <w:rsid w:val="00F93D0E"/>
    <w:rsid w:val="00F975C9"/>
    <w:rsid w:val="00F977C7"/>
    <w:rsid w:val="00FA0B00"/>
    <w:rsid w:val="00FA0E60"/>
    <w:rsid w:val="00FA30AE"/>
    <w:rsid w:val="00FA31CB"/>
    <w:rsid w:val="00FA4347"/>
    <w:rsid w:val="00FA4741"/>
    <w:rsid w:val="00FA55C7"/>
    <w:rsid w:val="00FA7FC7"/>
    <w:rsid w:val="00FB0D98"/>
    <w:rsid w:val="00FB161A"/>
    <w:rsid w:val="00FB165A"/>
    <w:rsid w:val="00FB16CB"/>
    <w:rsid w:val="00FB1C80"/>
    <w:rsid w:val="00FB23F4"/>
    <w:rsid w:val="00FB3076"/>
    <w:rsid w:val="00FB31B5"/>
    <w:rsid w:val="00FB4745"/>
    <w:rsid w:val="00FB47DC"/>
    <w:rsid w:val="00FB6C36"/>
    <w:rsid w:val="00FC1D80"/>
    <w:rsid w:val="00FC1DF1"/>
    <w:rsid w:val="00FC20F7"/>
    <w:rsid w:val="00FC2200"/>
    <w:rsid w:val="00FC2B0F"/>
    <w:rsid w:val="00FC2CB2"/>
    <w:rsid w:val="00FC3EE5"/>
    <w:rsid w:val="00FC4F48"/>
    <w:rsid w:val="00FC65C0"/>
    <w:rsid w:val="00FC6A36"/>
    <w:rsid w:val="00FC725A"/>
    <w:rsid w:val="00FC7368"/>
    <w:rsid w:val="00FC7E85"/>
    <w:rsid w:val="00FD1A8D"/>
    <w:rsid w:val="00FD3146"/>
    <w:rsid w:val="00FD4AD1"/>
    <w:rsid w:val="00FD5460"/>
    <w:rsid w:val="00FD58C5"/>
    <w:rsid w:val="00FD5A25"/>
    <w:rsid w:val="00FD5F9F"/>
    <w:rsid w:val="00FD7CE6"/>
    <w:rsid w:val="00FE2F46"/>
    <w:rsid w:val="00FE5C85"/>
    <w:rsid w:val="00FE7878"/>
    <w:rsid w:val="00FF1785"/>
    <w:rsid w:val="00FF2438"/>
    <w:rsid w:val="00FF2449"/>
    <w:rsid w:val="00FF3064"/>
    <w:rsid w:val="00FF3CF4"/>
    <w:rsid w:val="00FF508A"/>
    <w:rsid w:val="00FF5C88"/>
    <w:rsid w:val="6339404F"/>
    <w:rsid w:val="7AA44D8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4D62A"/>
  <w15:docId w15:val="{485A2A27-7E54-478B-8799-7CCF2C5B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qFormat="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uiPriority="60"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pPr>
      <w:keepNext/>
      <w:keepLines/>
      <w:spacing w:before="480" w:after="0"/>
      <w:jc w:val="center"/>
      <w:outlineLvl w:val="0"/>
    </w:pPr>
    <w:rPr>
      <w:rFonts w:ascii="Times New Roman" w:eastAsiaTheme="majorEastAsia" w:hAnsi="Times New Roman" w:cstheme="majorBidi"/>
      <w:b/>
      <w:bCs/>
      <w:color w:val="365F91" w:themeColor="accent1" w:themeShade="BF"/>
      <w:sz w:val="32"/>
      <w:szCs w:val="28"/>
    </w:rPr>
  </w:style>
  <w:style w:type="paragraph" w:styleId="Titre2">
    <w:name w:val="heading 2"/>
    <w:basedOn w:val="Normal"/>
    <w:next w:val="Normal"/>
    <w:link w:val="Titre2Car"/>
    <w:uiPriority w:val="9"/>
    <w:unhideWhenUsed/>
    <w:qFormat/>
    <w:pPr>
      <w:keepNext/>
      <w:keepLines/>
      <w:spacing w:before="200" w:after="0"/>
      <w:jc w:val="center"/>
      <w:outlineLvl w:val="1"/>
    </w:pPr>
    <w:rPr>
      <w:rFonts w:ascii="Times New Roman" w:eastAsiaTheme="majorEastAsia" w:hAnsi="Times New Roman" w:cstheme="majorBidi"/>
      <w:b/>
      <w:bCs/>
      <w:i/>
      <w:color w:val="4F81BD" w:themeColor="accent1"/>
      <w:sz w:val="28"/>
      <w:szCs w:val="26"/>
    </w:rPr>
  </w:style>
  <w:style w:type="paragraph" w:styleId="Titre3">
    <w:name w:val="heading 3"/>
    <w:basedOn w:val="Normal"/>
    <w:next w:val="Normal"/>
    <w:link w:val="Titre3Car"/>
    <w:uiPriority w:val="9"/>
    <w:unhideWhenUsed/>
    <w:qFormat/>
    <w:pPr>
      <w:keepNext/>
      <w:keepLines/>
      <w:spacing w:before="200" w:after="0"/>
      <w:jc w:val="center"/>
      <w:outlineLvl w:val="2"/>
    </w:pPr>
    <w:rPr>
      <w:rFonts w:ascii="Times New Roman" w:eastAsiaTheme="majorEastAsia" w:hAnsi="Times New Roman" w:cstheme="majorBidi"/>
      <w:b/>
      <w:bCs/>
      <w:i/>
      <w:color w:val="4F81BD" w:themeColor="accent1"/>
      <w:sz w:val="24"/>
    </w:rPr>
  </w:style>
  <w:style w:type="paragraph" w:styleId="Titre4">
    <w:name w:val="heading 4"/>
    <w:basedOn w:val="Normal"/>
    <w:next w:val="Normal"/>
    <w:link w:val="Titre4Car"/>
    <w:uiPriority w:val="9"/>
    <w:unhideWhenUsed/>
    <w:qFormat/>
    <w:pPr>
      <w:keepNext/>
      <w:keepLines/>
      <w:spacing w:before="200" w:after="0"/>
      <w:jc w:val="center"/>
      <w:outlineLvl w:val="3"/>
    </w:pPr>
    <w:rPr>
      <w:rFonts w:ascii="Times New Roman" w:eastAsiaTheme="majorEastAsia" w:hAnsi="Times New Roman" w:cstheme="majorBidi"/>
      <w:b/>
      <w:bCs/>
      <w:i/>
      <w:iCs/>
      <w:color w:val="4F81BD" w:themeColor="accent1"/>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qFormat/>
    <w:rPr>
      <w:color w:val="0000FF" w:themeColor="hyperlink"/>
      <w:u w:val="single"/>
    </w:rPr>
  </w:style>
  <w:style w:type="character" w:styleId="Appelnotedebasdep">
    <w:name w:val="footnote reference"/>
    <w:basedOn w:val="Policepardfaut"/>
    <w:semiHidden/>
    <w:unhideWhenUsed/>
    <w:qFormat/>
    <w:rPr>
      <w:vertAlign w:val="superscript"/>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qFormat/>
    <w:rPr>
      <w:sz w:val="16"/>
      <w:szCs w:val="16"/>
    </w:rPr>
  </w:style>
  <w:style w:type="character" w:styleId="Numrodepage">
    <w:name w:val="page number"/>
    <w:basedOn w:val="Policepardfaut"/>
    <w:uiPriority w:val="99"/>
    <w:semiHidden/>
    <w:unhideWhenUsed/>
    <w:qFormat/>
  </w:style>
  <w:style w:type="character" w:styleId="Accentuation">
    <w:name w:val="Emphasis"/>
    <w:basedOn w:val="Policepardfaut"/>
    <w:uiPriority w:val="20"/>
    <w:qFormat/>
    <w:rPr>
      <w:i/>
      <w:iCs/>
    </w:rPr>
  </w:style>
  <w:style w:type="character" w:styleId="Lienhypertextesuivivisit">
    <w:name w:val="FollowedHyperlink"/>
    <w:basedOn w:val="Policepardfaut"/>
    <w:uiPriority w:val="99"/>
    <w:semiHidden/>
    <w:unhideWhenUsed/>
    <w:qFormat/>
    <w:rPr>
      <w:color w:val="800080" w:themeColor="followedHyperlink"/>
      <w:u w:val="single"/>
    </w:rPr>
  </w:style>
  <w:style w:type="paragraph" w:styleId="PrformatHTML">
    <w:name w:val="HTML Preformatted"/>
    <w:basedOn w:val="Normal"/>
    <w:link w:val="PrformatHTMLC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paragraph" w:styleId="Notedebasdepage">
    <w:name w:val="footnote text"/>
    <w:basedOn w:val="Normal"/>
    <w:link w:val="NotedebasdepageCar"/>
    <w:unhideWhenUsed/>
    <w:qFormat/>
    <w:pPr>
      <w:spacing w:after="0"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unhideWhenUsed/>
    <w:qFormat/>
    <w:pPr>
      <w:spacing w:line="240" w:lineRule="auto"/>
    </w:pPr>
    <w:rPr>
      <w:sz w:val="20"/>
      <w:szCs w:val="20"/>
    </w:rPr>
  </w:style>
  <w:style w:type="paragraph" w:styleId="Lgende">
    <w:name w:val="caption"/>
    <w:basedOn w:val="Normal"/>
    <w:next w:val="Normal"/>
    <w:uiPriority w:val="35"/>
    <w:unhideWhenUsed/>
    <w:qFormat/>
    <w:pPr>
      <w:spacing w:line="240" w:lineRule="auto"/>
    </w:pPr>
    <w:rPr>
      <w:b/>
      <w:bCs/>
      <w:color w:val="4F81BD" w:themeColor="accent1"/>
      <w:sz w:val="18"/>
      <w:szCs w:val="18"/>
    </w:rPr>
  </w:style>
  <w:style w:type="paragraph" w:styleId="Textedebulles">
    <w:name w:val="Balloon Text"/>
    <w:basedOn w:val="Normal"/>
    <w:link w:val="TextedebullesCar"/>
    <w:uiPriority w:val="99"/>
    <w:semiHidden/>
    <w:unhideWhenUsed/>
    <w:qFormat/>
    <w:pPr>
      <w:spacing w:after="0" w:line="240" w:lineRule="auto"/>
    </w:pPr>
    <w:rPr>
      <w:rFonts w:ascii="Tahoma" w:hAnsi="Tahoma" w:cs="Tahoma"/>
      <w:sz w:val="16"/>
      <w:szCs w:val="16"/>
    </w:rPr>
  </w:style>
  <w:style w:type="paragraph" w:styleId="Retraitcorpsdetexte2">
    <w:name w:val="Body Text Indent 2"/>
    <w:basedOn w:val="Normal"/>
    <w:link w:val="Retraitcorpsdetexte2Car"/>
    <w:uiPriority w:val="99"/>
    <w:unhideWhenUsed/>
    <w:qFormat/>
    <w:pPr>
      <w:spacing w:after="120" w:line="480" w:lineRule="auto"/>
      <w:ind w:left="283"/>
    </w:pPr>
  </w:style>
  <w:style w:type="paragraph" w:styleId="Corpsdetexte2">
    <w:name w:val="Body Text 2"/>
    <w:basedOn w:val="Normal"/>
    <w:link w:val="Corpsdetexte2Car"/>
    <w:semiHidden/>
    <w:qFormat/>
    <w:pPr>
      <w:autoSpaceDE w:val="0"/>
      <w:autoSpaceDN w:val="0"/>
      <w:adjustRightInd w:val="0"/>
      <w:spacing w:before="60" w:after="0" w:line="480" w:lineRule="auto"/>
      <w:jc w:val="both"/>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TM2">
    <w:name w:val="toc 2"/>
    <w:basedOn w:val="Normal"/>
    <w:next w:val="Normal"/>
    <w:autoRedefine/>
    <w:uiPriority w:val="39"/>
    <w:unhideWhenUsed/>
    <w:qFormat/>
    <w:pPr>
      <w:spacing w:after="100"/>
      <w:ind w:left="220"/>
    </w:pPr>
  </w:style>
  <w:style w:type="paragraph" w:styleId="Tabledesillustrations">
    <w:name w:val="table of figures"/>
    <w:basedOn w:val="Normal"/>
    <w:next w:val="Normal"/>
    <w:uiPriority w:val="99"/>
    <w:unhideWhenUsed/>
    <w:qFormat/>
    <w:pPr>
      <w:spacing w:after="0"/>
    </w:pPr>
  </w:style>
  <w:style w:type="paragraph" w:styleId="Titre">
    <w:name w:val="Title"/>
    <w:basedOn w:val="Normal"/>
    <w:next w:val="Normal"/>
    <w:link w:val="TitreC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TM1">
    <w:name w:val="toc 1"/>
    <w:basedOn w:val="Normal"/>
    <w:next w:val="Normal"/>
    <w:autoRedefine/>
    <w:uiPriority w:val="39"/>
    <w:unhideWhenUsed/>
    <w:qFormat/>
    <w:pPr>
      <w:spacing w:after="100"/>
    </w:pPr>
  </w:style>
  <w:style w:type="character" w:customStyle="1" w:styleId="TitreCar">
    <w:name w:val="Titre Car"/>
    <w:basedOn w:val="Policepardfaut"/>
    <w:link w:val="Titre"/>
    <w:uiPriority w:val="10"/>
    <w:qFormat/>
    <w:rPr>
      <w:rFonts w:asciiTheme="majorHAnsi" w:eastAsiaTheme="majorEastAsia" w:hAnsiTheme="majorHAnsi" w:cstheme="majorBidi"/>
      <w:color w:val="17365D" w:themeColor="text2" w:themeShade="BF"/>
      <w:spacing w:val="5"/>
      <w:kern w:val="28"/>
      <w:sz w:val="52"/>
      <w:szCs w:val="52"/>
    </w:rPr>
  </w:style>
  <w:style w:type="character" w:customStyle="1" w:styleId="Titre1Car">
    <w:name w:val="Titre 1 Car"/>
    <w:basedOn w:val="Policepardfaut"/>
    <w:link w:val="Titre1"/>
    <w:uiPriority w:val="9"/>
    <w:qFormat/>
    <w:rPr>
      <w:rFonts w:ascii="Times New Roman" w:eastAsiaTheme="majorEastAsia" w:hAnsi="Times New Roman" w:cstheme="majorBidi"/>
      <w:b/>
      <w:bCs/>
      <w:color w:val="365F91" w:themeColor="accent1" w:themeShade="BF"/>
      <w:sz w:val="32"/>
      <w:szCs w:val="28"/>
    </w:rPr>
  </w:style>
  <w:style w:type="character" w:customStyle="1" w:styleId="Titre2Car">
    <w:name w:val="Titre 2 Car"/>
    <w:basedOn w:val="Policepardfaut"/>
    <w:link w:val="Titre2"/>
    <w:uiPriority w:val="9"/>
    <w:qFormat/>
    <w:rPr>
      <w:rFonts w:ascii="Times New Roman" w:eastAsiaTheme="majorEastAsia" w:hAnsi="Times New Roman" w:cstheme="majorBidi"/>
      <w:b/>
      <w:bCs/>
      <w:i/>
      <w:color w:val="4F81BD" w:themeColor="accent1"/>
      <w:sz w:val="28"/>
      <w:szCs w:val="26"/>
    </w:rPr>
  </w:style>
  <w:style w:type="character" w:customStyle="1" w:styleId="NotedebasdepageCar">
    <w:name w:val="Note de bas de page Car"/>
    <w:basedOn w:val="Policepardfaut"/>
    <w:link w:val="Notedebasdepage"/>
    <w:qFormat/>
    <w:rPr>
      <w:sz w:val="20"/>
      <w:szCs w:val="20"/>
    </w:rPr>
  </w:style>
  <w:style w:type="paragraph" w:styleId="Paragraphedeliste">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Corpsdetexte2Car">
    <w:name w:val="Corps de texte 2 Car"/>
    <w:basedOn w:val="Policepardfaut"/>
    <w:link w:val="Corpsdetexte2"/>
    <w:semiHidden/>
    <w:qFormat/>
    <w:rPr>
      <w:rFonts w:ascii="Times New Roman" w:eastAsia="Times New Roman" w:hAnsi="Times New Roman" w:cs="Times New Roman"/>
      <w:sz w:val="24"/>
      <w:szCs w:val="24"/>
      <w:lang w:eastAsia="fr-FR"/>
    </w:rPr>
  </w:style>
  <w:style w:type="character" w:customStyle="1" w:styleId="TextedebullesCar">
    <w:name w:val="Texte de bulles Car"/>
    <w:basedOn w:val="Policepardfaut"/>
    <w:link w:val="Textedebulles"/>
    <w:uiPriority w:val="99"/>
    <w:semiHidden/>
    <w:qFormat/>
    <w:rPr>
      <w:rFonts w:ascii="Tahoma" w:hAnsi="Tahoma" w:cs="Tahoma"/>
      <w:sz w:val="16"/>
      <w:szCs w:val="16"/>
    </w:rPr>
  </w:style>
  <w:style w:type="character" w:styleId="Textedelespacerserv">
    <w:name w:val="Placeholder Text"/>
    <w:basedOn w:val="Policepardfaut"/>
    <w:uiPriority w:val="99"/>
    <w:semiHidden/>
    <w:qFormat/>
    <w:rPr>
      <w:color w:val="808080"/>
    </w:rPr>
  </w:style>
  <w:style w:type="character" w:customStyle="1" w:styleId="En-tteCar">
    <w:name w:val="En-tête Car"/>
    <w:basedOn w:val="Policepardfaut"/>
    <w:link w:val="En-tte"/>
    <w:uiPriority w:val="99"/>
    <w:qFormat/>
  </w:style>
  <w:style w:type="character" w:customStyle="1" w:styleId="PieddepageCar">
    <w:name w:val="Pied de page Car"/>
    <w:basedOn w:val="Policepardfaut"/>
    <w:link w:val="Pieddepage"/>
    <w:uiPriority w:val="99"/>
    <w:qFormat/>
  </w:style>
  <w:style w:type="paragraph" w:customStyle="1" w:styleId="Bibliographie1">
    <w:name w:val="Bibliographie1"/>
    <w:basedOn w:val="Normal"/>
    <w:next w:val="Normal"/>
    <w:uiPriority w:val="37"/>
    <w:unhideWhenUsed/>
    <w:qFormat/>
  </w:style>
  <w:style w:type="character" w:customStyle="1" w:styleId="CommentaireCar">
    <w:name w:val="Commentaire Car"/>
    <w:basedOn w:val="Policepardfaut"/>
    <w:link w:val="Commentaire"/>
    <w:uiPriority w:val="99"/>
    <w:qFormat/>
    <w:rPr>
      <w:sz w:val="20"/>
      <w:szCs w:val="20"/>
    </w:rPr>
  </w:style>
  <w:style w:type="character" w:customStyle="1" w:styleId="Retraitcorpsdetexte2Car">
    <w:name w:val="Retrait corps de texte 2 Car"/>
    <w:basedOn w:val="Policepardfaut"/>
    <w:link w:val="Retraitcorpsdetexte2"/>
    <w:uiPriority w:val="99"/>
    <w:qFormat/>
  </w:style>
  <w:style w:type="paragraph" w:styleId="Sansinterligne">
    <w:name w:val="No Spacing"/>
    <w:uiPriority w:val="1"/>
    <w:qFormat/>
    <w:rPr>
      <w:sz w:val="22"/>
      <w:szCs w:val="22"/>
      <w:lang w:eastAsia="en-US"/>
    </w:rPr>
  </w:style>
  <w:style w:type="table" w:styleId="Grilledutableau">
    <w:name w:val="Table Grid"/>
    <w:basedOn w:val="Tableau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qFormat/>
    <w:rPr>
      <w:rFonts w:ascii="Times New Roman" w:eastAsiaTheme="majorEastAsia" w:hAnsi="Times New Roman" w:cstheme="majorBidi"/>
      <w:b/>
      <w:bCs/>
      <w:i/>
      <w:color w:val="4F81BD" w:themeColor="accent1"/>
      <w:sz w:val="24"/>
    </w:rPr>
  </w:style>
  <w:style w:type="character" w:customStyle="1" w:styleId="PrformatHTMLCar">
    <w:name w:val="Préformaté HTML Car"/>
    <w:basedOn w:val="Policepardfaut"/>
    <w:link w:val="PrformatHTML"/>
    <w:uiPriority w:val="99"/>
    <w:semiHidden/>
    <w:qFormat/>
    <w:rPr>
      <w:rFonts w:ascii="Courier New" w:eastAsia="Times New Roman" w:hAnsi="Courier New" w:cs="Courier New"/>
      <w:sz w:val="20"/>
      <w:szCs w:val="20"/>
      <w:lang w:eastAsia="fr-FR"/>
    </w:rPr>
  </w:style>
  <w:style w:type="character" w:customStyle="1" w:styleId="a1">
    <w:name w:val="a1"/>
    <w:basedOn w:val="Policepardfaut"/>
    <w:qFormat/>
    <w:rPr>
      <w:rFonts w:ascii="ff1" w:hAnsi="ff1" w:hint="default"/>
    </w:rPr>
  </w:style>
  <w:style w:type="table" w:styleId="Trameclaire-Accent1">
    <w:name w:val="Light Shading Accent 1"/>
    <w:basedOn w:val="TableauNormal"/>
    <w:uiPriority w:val="60"/>
    <w:qFormat/>
    <w:rPr>
      <w:color w:val="365F91" w:themeColor="accent1" w:themeShade="BF"/>
    </w:rPr>
    <w:tblPr>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alt-edited1">
    <w:name w:val="alt-edited1"/>
    <w:basedOn w:val="Policepardfaut"/>
    <w:qFormat/>
    <w:rPr>
      <w:color w:val="4D90F0"/>
    </w:rPr>
  </w:style>
  <w:style w:type="paragraph" w:customStyle="1" w:styleId="DecimalAligned">
    <w:name w:val="Decimal Aligned"/>
    <w:basedOn w:val="Normal"/>
    <w:uiPriority w:val="40"/>
    <w:qFormat/>
    <w:pPr>
      <w:tabs>
        <w:tab w:val="decimal" w:pos="360"/>
      </w:tabs>
    </w:pPr>
    <w:rPr>
      <w:lang w:eastAsia="fr-FR"/>
    </w:rPr>
  </w:style>
  <w:style w:type="character" w:customStyle="1" w:styleId="Accentuationlgre1">
    <w:name w:val="Accentuation légère1"/>
    <w:basedOn w:val="Policepardfaut"/>
    <w:uiPriority w:val="19"/>
    <w:qFormat/>
    <w:rPr>
      <w:i/>
      <w:iCs/>
      <w:color w:val="7F7F7F" w:themeColor="text1" w:themeTint="80"/>
    </w:rPr>
  </w:style>
  <w:style w:type="table" w:customStyle="1" w:styleId="TableauGrille21">
    <w:name w:val="Tableau Grille 21"/>
    <w:basedOn w:val="TableauNormal"/>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itecrochet1">
    <w:name w:val="cite_crochet1"/>
    <w:basedOn w:val="Policepardfaut"/>
    <w:qFormat/>
    <w:rPr>
      <w:vanish/>
    </w:rPr>
  </w:style>
  <w:style w:type="character" w:customStyle="1" w:styleId="st1">
    <w:name w:val="st1"/>
    <w:basedOn w:val="Policepardfaut"/>
    <w:qFormat/>
  </w:style>
  <w:style w:type="character" w:customStyle="1" w:styleId="shorttext">
    <w:name w:val="short_text"/>
    <w:basedOn w:val="Policepardfaut"/>
    <w:qFormat/>
  </w:style>
  <w:style w:type="character" w:customStyle="1" w:styleId="Titre4Car">
    <w:name w:val="Titre 4 Car"/>
    <w:basedOn w:val="Policepardfaut"/>
    <w:link w:val="Titre4"/>
    <w:uiPriority w:val="9"/>
    <w:qFormat/>
    <w:rPr>
      <w:rFonts w:ascii="Times New Roman" w:eastAsiaTheme="majorEastAsia" w:hAnsi="Times New Roman" w:cstheme="majorBidi"/>
      <w:b/>
      <w:bCs/>
      <w:i/>
      <w:iCs/>
      <w:color w:val="4F81BD" w:themeColor="accent1"/>
      <w:sz w:val="24"/>
    </w:rPr>
  </w:style>
  <w:style w:type="paragraph" w:customStyle="1" w:styleId="Body">
    <w:name w:val="Body"/>
    <w:basedOn w:val="Normal"/>
    <w:uiPriority w:val="1"/>
    <w:qFormat/>
    <w:pPr>
      <w:widowControl w:val="0"/>
      <w:spacing w:after="0" w:line="240" w:lineRule="auto"/>
    </w:pPr>
    <w:rPr>
      <w:rFonts w:ascii="Times New Roman" w:eastAsia="Times New Roman" w:hAnsi="Times New Roman"/>
      <w:lang w:val="en-US"/>
    </w:rPr>
  </w:style>
  <w:style w:type="character" w:customStyle="1" w:styleId="ObjetducommentaireCar">
    <w:name w:val="Objet du commentaire Car"/>
    <w:basedOn w:val="CommentaireCar"/>
    <w:link w:val="Objetducommentaire"/>
    <w:uiPriority w:val="99"/>
    <w:semiHidden/>
    <w:qFormat/>
    <w:rPr>
      <w:b/>
      <w:bCs/>
      <w:sz w:val="20"/>
      <w:szCs w:val="20"/>
    </w:rPr>
  </w:style>
  <w:style w:type="paragraph" w:customStyle="1" w:styleId="Rvision1">
    <w:name w:val="Révision1"/>
    <w:hidden/>
    <w:uiPriority w:val="99"/>
    <w:semiHidden/>
    <w:qFormat/>
    <w:rPr>
      <w:sz w:val="22"/>
      <w:szCs w:val="22"/>
      <w:lang w:eastAsia="en-US"/>
    </w:rPr>
  </w:style>
  <w:style w:type="character" w:customStyle="1" w:styleId="Mentionnonrsolue1">
    <w:name w:val="Mention non résolue1"/>
    <w:basedOn w:val="Policepardfaut"/>
    <w:uiPriority w:val="99"/>
    <w:semiHidden/>
    <w:unhideWhenUsed/>
    <w:qFormat/>
    <w:rPr>
      <w:color w:val="605E5C"/>
      <w:shd w:val="clear" w:color="auto" w:fill="E1DFDD"/>
    </w:rPr>
  </w:style>
  <w:style w:type="paragraph" w:customStyle="1" w:styleId="Rvision2">
    <w:name w:val="Révision2"/>
    <w:hidden/>
    <w:uiPriority w:val="99"/>
    <w:unhideWhenUsed/>
    <w:qFormat/>
    <w:rPr>
      <w:sz w:val="22"/>
      <w:szCs w:val="22"/>
      <w:lang w:eastAsia="en-US"/>
    </w:rPr>
  </w:style>
  <w:style w:type="paragraph" w:styleId="Rvision">
    <w:name w:val="Revision"/>
    <w:hidden/>
    <w:uiPriority w:val="99"/>
    <w:semiHidden/>
    <w:rsid w:val="00E61B0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Cri13</b:Tag>
    <b:SourceType>Book</b:SourceType>
    <b:Guid>{3CCC0886-EC04-4A35-A2EE-24C62E1505E5}</b:Guid>
    <b:Author>
      <b:Author>
        <b:NameList>
          <b:Person>
            <b:Last>Barra</b:Last>
            <b:First>Cristian</b:First>
          </b:Person>
          <b:Person>
            <b:Last>Destefanis</b:Last>
            <b:First>Sergio</b:First>
          </b:Person>
          <b:Person>
            <b:Last>Lavadera</b:Last>
            <b:First>Giuseppe</b:First>
            <b:Middle>Lubrano</b:Middle>
          </b:Person>
        </b:NameList>
      </b:Author>
    </b:Author>
    <b:Title>finance development and economic growth: evidence from highly disaggregated italian data</b:Title>
    <b:Year>2013</b:Year>
    <b:Publisher>Centre for Studies in Economics and Finance (CSEF)</b:Publisher>
    <b:RefOrder>6</b:RefOrder>
  </b:Source>
  <b:Source>
    <b:Tag>Mam14</b:Tag>
    <b:SourceType>Book</b:SourceType>
    <b:Guid>{BED8BF3C-981A-40A2-8AAC-36CEF9A94CF7}</b:Guid>
    <b:Author>
      <b:Author>
        <b:NameList>
          <b:Person>
            <b:Last>Boukari</b:Last>
            <b:First>Mamane</b:First>
          </b:Person>
        </b:NameList>
      </b:Author>
    </b:Author>
    <b:Title>Thèse de doctorat: la théorie de la libéralisation financière face aux enjeux du financement du développement en Afrique subsaharienne </b:Title>
    <b:Year>2014</b:Year>
    <b:Publisher>Université de Bordeaux </b:Publisher>
    <b:RefOrder>7</b:RefOrder>
  </b:Source>
  <b:Source>
    <b:Tag>Jea12</b:Tag>
    <b:SourceType>Book</b:SourceType>
    <b:Guid>{CD9854CD-1D5F-4ED4-98F0-046C1B4D9FE9}</b:Guid>
    <b:Author>
      <b:Author>
        <b:NameList>
          <b:Person>
            <b:Last>Allegret</b:Last>
            <b:First>Jean-Pierre</b:First>
          </b:Person>
          <b:Person>
            <b:Last>Azzabi</b:Last>
            <b:First>Sana</b:First>
          </b:Person>
        </b:NameList>
      </b:Author>
    </b:Author>
    <b:Title>Développement financier, croissance de long terme et effets de seuil</b:Title>
    <b:Year>2012</b:Year>
    <b:Publisher>Panoeconomicus, pp. 553-581</b:Publisher>
    <b:RefOrder>8</b:RefOrder>
  </b:Source>
  <b:Source>
    <b:Tag>Hug66</b:Tag>
    <b:SourceType>Book</b:SourceType>
    <b:Guid>{ED87BC58-156E-4E52-8AA2-6FE5EAD34034}</b:Guid>
    <b:Author>
      <b:Author>
        <b:NameList>
          <b:Person>
            <b:Last>Patrick</b:Last>
            <b:First>Hugh</b:First>
            <b:Middle>T.</b:Middle>
          </b:Person>
        </b:NameList>
      </b:Author>
    </b:Author>
    <b:Title>Financial development and economic growth in underdeveloped countries.  </b:Title>
    <b:Year>1966</b:Year>
    <b:Publisher>Economics Development and cultural Change, Yale University. pp. 174-189</b:Publisher>
    <b:RefOrder>9</b:RefOrder>
  </b:Source>
  <b:Source>
    <b:Tag>JCB98</b:Tag>
    <b:SourceType>Book</b:SourceType>
    <b:Guid>{BE55E827-8428-4940-BB10-6AABBE742F43}</b:Guid>
    <b:Author>
      <b:Author>
        <b:NameList>
          <b:Person>
            <b:Last>Berthélemy</b:Last>
            <b:First>J-C</b:First>
          </b:Person>
          <b:Person>
            <b:Last>Varoudakis</b:Last>
            <b:First>A</b:First>
          </b:Person>
        </b:NameList>
      </b:Author>
    </b:Author>
    <b:Title>Développement financier, réformes financières et croissance. Une approche en données de panel</b:Title>
    <b:Year>1998</b:Year>
    <b:Publisher>Revue économique, 49(1), 195–206</b:Publisher>
    <b:RefOrder>10</b:RefOrder>
  </b:Source>
  <b:Source>
    <b:Tag>SGJ05</b:Tag>
    <b:SourceType>Book</b:SourceType>
    <b:Guid>{26FF20DD-BD17-40C7-8ACE-4502FE21B5DA}</b:Guid>
    <b:Author>
      <b:Author>
        <b:NameList>
          <b:Person>
            <b:Last>Jeanneney</b:Last>
            <b:First>S.</b:First>
            <b:Middle>G.</b:Middle>
          </b:Person>
          <b:Person>
            <b:Last>Kpodar</b:Last>
            <b:First>K.</b:First>
            <b:Middle>R.</b:Middle>
          </b:Person>
        </b:NameList>
      </b:Author>
    </b:Author>
    <b:Title>Financial Development, Financial Instability and Poverty</b:Title>
    <b:Year>2005</b:Year>
    <b:Publisher>CSAE Working Papers, 09</b:Publisher>
    <b:RefOrder>11</b:RefOrder>
  </b:Source>
  <b:Source>
    <b:Tag>SES73</b:Tag>
    <b:SourceType>Book</b:SourceType>
    <b:Guid>{0B962DF2-AA86-418F-B724-0920537363D8}</b:Guid>
    <b:Author>
      <b:Author>
        <b:NameList>
          <b:Person>
            <b:Last>Shaw</b:Last>
            <b:First>S.</b:First>
            <b:Middle>E.</b:Middle>
          </b:Person>
        </b:NameList>
      </b:Author>
    </b:Author>
    <b:Title>Financial Deepening in Economic Development</b:Title>
    <b:Year>1973</b:Year>
    <b:Publisher>Oxford University Press</b:Publisher>
    <b:RefOrder>12</b:RefOrder>
  </b:Source>
  <b:Source>
    <b:Tag>JSc11</b:Tag>
    <b:SourceType>Book</b:SourceType>
    <b:Guid>{055F3BED-DC90-4B6C-AD27-953A4513D57A}</b:Guid>
    <b:Author>
      <b:Author>
        <b:NameList>
          <b:Person>
            <b:Last>Schumpeter</b:Last>
            <b:First>J.</b:First>
          </b:Person>
        </b:NameList>
      </b:Author>
    </b:Author>
    <b:Title> The theory of ceonomic development</b:Title>
    <b:Year>1911</b:Year>
    <b:Publisher>Cambridge, MA: Havard Université Press.</b:Publisher>
    <b:RefOrder>13</b:RefOrder>
  </b:Source>
  <b:Source>
    <b:Tag>RIM73</b:Tag>
    <b:SourceType>Book</b:SourceType>
    <b:Guid>{6767D60E-A2CF-4F50-A521-D59157522EFE}</b:Guid>
    <b:Author>
      <b:Author>
        <b:NameList>
          <b:Person>
            <b:Last>McKinnon</b:Last>
            <b:First>R.I.</b:First>
          </b:Person>
        </b:NameList>
      </b:Author>
    </b:Author>
    <b:Title>Money and capital in economic development</b:Title>
    <b:Year>1973</b:Year>
    <b:Publisher>Brookings Institution, Washington, DC</b:Publisher>
    <b:RefOrder>14</b:RefOrder>
  </b:Source>
  <b:Source>
    <b:Tag>RLe97</b:Tag>
    <b:SourceType>Book</b:SourceType>
    <b:Guid>{B5358091-696D-4B89-9520-0A0AE30B9550}</b:Guid>
    <b:Author>
      <b:Author>
        <b:NameList>
          <b:Person>
            <b:Last>Levine</b:Last>
            <b:First>R.</b:First>
          </b:Person>
        </b:NameList>
      </b:Author>
    </b:Author>
    <b:Title> financial development and economic growth: views and agenda </b:Title>
    <b:Year>1997</b:Year>
    <b:Publisher>Journal of economic literature 35 (2), 688-726</b:Publisher>
    <b:RefOrder>2</b:RefOrder>
  </b:Source>
  <b:Source>
    <b:Tag>Joa52</b:Tag>
    <b:SourceType>Book</b:SourceType>
    <b:Guid>{A0E2D806-0293-45BA-A3C2-897E582F7A61}</b:Guid>
    <b:Author>
      <b:Author>
        <b:NameList>
          <b:Person>
            <b:Last>Robinson</b:Last>
            <b:First>Joan</b:First>
          </b:Person>
        </b:NameList>
      </b:Author>
    </b:Author>
    <b:Title>The Rate of Interest and Other Essays </b:Title>
    <b:Year>1952</b:Year>
    <b:Publisher>MacMillan, Londres</b:Publisher>
    <b:RefOrder>15</b:RefOrder>
  </b:Source>
  <b:Source>
    <b:Tag>RGK93</b:Tag>
    <b:SourceType>Book</b:SourceType>
    <b:Guid>{662840C5-5E5B-4BBC-93DA-F30FEB7B2A43}</b:Guid>
    <b:Author>
      <b:Author>
        <b:NameList>
          <b:Person>
            <b:Last>R.G.King</b:Last>
          </b:Person>
          <b:Person>
            <b:Last>Levine</b:Last>
            <b:First>R</b:First>
          </b:Person>
        </b:NameList>
      </b:Author>
    </b:Author>
    <b:Title>finance and growth: Schumpeter might be right</b:Title>
    <b:Year>1993a</b:Year>
    <b:Publisher>The quarterly journal of economics, 108(3), 717-737.</b:Publisher>
    <b:RefOrder>16</b:RefOrder>
  </b:Source>
  <b:Source>
    <b:Tag>RLe00</b:Tag>
    <b:SourceType>Book</b:SourceType>
    <b:Guid>{83EC8E5F-5D23-4682-A921-B3AF6885CA9F}</b:Guid>
    <b:Author>
      <b:Author>
        <b:NameList>
          <b:Person>
            <b:Last>Levine</b:Last>
            <b:First>R.</b:First>
          </b:Person>
        </b:NameList>
      </b:Author>
    </b:Author>
    <b:Title> International financial liberalization and economic growth.</b:Title>
    <b:Year>2000</b:Year>
    <b:Publisher>review of international economics, 9:4, 688-702</b:Publisher>
    <b:RefOrder>17</b:RefOrder>
  </b:Source>
  <b:Source>
    <b:Tag>RGO69</b:Tag>
    <b:SourceType>Book</b:SourceType>
    <b:Guid>{6AC784BA-DF27-4E27-A11C-8FDDB3198778}</b:Guid>
    <b:Author>
      <b:Author>
        <b:NameList>
          <b:Person>
            <b:Last>Goldsmith</b:Last>
            <b:First>R</b:First>
          </b:Person>
        </b:NameList>
      </b:Author>
    </b:Author>
    <b:Title>Financial Structure and Development</b:Title>
    <b:Year>1969</b:Year>
    <b:Publisher>New Haven: Yale University Press.</b:Publisher>
    <b:RefOrder>18</b:RefOrder>
  </b:Source>
  <b:Source>
    <b:Tag>JGG95</b:Tag>
    <b:SourceType>Book</b:SourceType>
    <b:Guid>{DB9A75AC-3558-4098-9611-F323C5D48A33}</b:Guid>
    <b:Author>
      <b:Author>
        <b:NameList>
          <b:Person>
            <b:Last>Gurley</b:Last>
            <b:First>J.</b:First>
            <b:Middle>G.</b:Middle>
          </b:Person>
          <b:Person>
            <b:Last>Shaw</b:Last>
            <b:First>E.</b:First>
            <b:Middle>S.</b:Middle>
          </b:Person>
        </b:NameList>
      </b:Author>
    </b:Author>
    <b:Title> Financial aspects of economic development </b:Title>
    <b:Year>1995</b:Year>
    <b:Publisher> American Economic Review 45, 515-538</b:Publisher>
    <b:RefOrder>19</b:RefOrder>
  </b:Source>
  <b:Source>
    <b:Tag>Jea96</b:Tag>
    <b:SourceType>Book</b:SourceType>
    <b:Guid>{23C67AE4-FDB3-4110-82F1-01EC7CF89096}</b:Guid>
    <b:Author>
      <b:Author>
        <b:NameList>
          <b:Person>
            <b:Last>Berthelemy</b:Last>
            <b:First>Jean-Claude</b:First>
          </b:Person>
          <b:Person>
            <b:Last>Varoudakis</b:Last>
            <b:First>Aristomene</b:First>
          </b:Person>
        </b:NameList>
      </b:Author>
    </b:Author>
    <b:Title>Economic growth, convergence clubs, and the role of financial development.</b:Title>
    <b:Year>1996</b:Year>
    <b:Publisher>Oxford Economic Papers, 48: 300-328</b:Publisher>
    <b:RefOrder>20</b:RefOrder>
  </b:Source>
  <b:Source>
    <b:Tag>Pan04</b:Tag>
    <b:SourceType>Book</b:SourceType>
    <b:Guid>{20B34C07-4E38-4669-B260-E697EE0BAC4A}</b:Guid>
    <b:Author>
      <b:Author>
        <b:NameList>
          <b:Person>
            <b:Last>Demetriades</b:Last>
            <b:First>Panicos</b:First>
          </b:Person>
          <b:Person>
            <b:Last>Law</b:Last>
            <b:First>Siong</b:First>
            <b:Middle>Hook</b:Middle>
          </b:Person>
        </b:NameList>
      </b:Author>
    </b:Author>
    <b:Title>finance, institutions and economic growth.</b:Title>
    <b:Year>2004</b:Year>
    <b:Publisher>University of Leicester department of economics working Paper 04/5</b:Publisher>
    <b:RefOrder>21</b:RefOrder>
  </b:Source>
  <b:Source>
    <b:Tag>Hak11</b:Tag>
    <b:SourceType>Book</b:SourceType>
    <b:Guid>{F0608145-724F-459E-951D-458A9928A864}</b:Guid>
    <b:Author>
      <b:Author>
        <b:NameList>
          <b:Person>
            <b:Last>Yilmazkuday</b:Last>
            <b:First>Hakan</b:First>
          </b:Person>
        </b:NameList>
      </b:Author>
    </b:Author>
    <b:Title>Thresholds in the finance-growth nexus: A cross-country analysis.</b:Title>
    <b:Year>2011</b:Year>
    <b:Publisher> world bank economic review, 25(2): 278-295.</b:Publisher>
    <b:RefOrder>22</b:RefOrder>
  </b:Source>
  <b:Source>
    <b:Tag>Ram99</b:Tag>
    <b:SourceType>Book</b:SourceType>
    <b:Guid>{B5633D12-5496-4B60-9468-5B3405F6FF19}</b:Guid>
    <b:Author>
      <b:Author>
        <b:NameList>
          <b:Person>
            <b:Last>Rati</b:Last>
            <b:First>Ram</b:First>
          </b:Person>
        </b:NameList>
      </b:Author>
    </b:Author>
    <b:Title>Financial development and economic growth: additional evidence.</b:Title>
    <b:Year>1999</b:Year>
    <b:Publisher> Journal of Development Studies, 35(4): 164-174.</b:Publisher>
    <b:RefOrder>23</b:RefOrder>
  </b:Source>
  <b:Source>
    <b:Tag>Dav94</b:Tag>
    <b:SourceType>Book</b:SourceType>
    <b:Guid>{0C279BF1-45E2-46AC-A52B-EB043D8D1204}</b:Guid>
    <b:Author>
      <b:Author>
        <b:NameList>
          <b:Person>
            <b:Last>Fernandez</b:Last>
            <b:First>David</b:First>
          </b:Person>
          <b:Person>
            <b:Last>Galetovic</b:Last>
            <b:First>Alexander</b:First>
          </b:Person>
        </b:NameList>
      </b:Author>
    </b:Author>
    <b:Title>Schumpeter might be right but why? explaining the relation between finance, development and growth.</b:Title>
    <b:Year>1994</b:Year>
    <b:Publisher>Johns hopkins SAIS working paper 96-01.</b:Publisher>
    <b:RefOrder>24</b:RefOrder>
  </b:Source>
  <b:Source>
    <b:Tag>REL88</b:Tag>
    <b:SourceType>Book</b:SourceType>
    <b:Guid>{2DBCAC0C-7FF4-4D72-8C4D-A6A9AD484A67}</b:Guid>
    <b:Author>
      <b:Author>
        <b:NameList>
          <b:Person>
            <b:Last>Lucas</b:Last>
            <b:First>R.</b:First>
            <b:Middle>E.</b:Middle>
          </b:Person>
        </b:NameList>
      </b:Author>
    </b:Author>
    <b:Title>on the mechanics of economics developpement</b:Title>
    <b:Year>1988</b:Year>
    <b:Publisher>journal of moneatry economics,Vol. 22, n°1,p.3-42</b:Publisher>
    <b:RefOrder>1</b:RefOrder>
  </b:Source>
  <b:Source>
    <b:Tag>Dav17</b:Tag>
    <b:SourceType>Book</b:SourceType>
    <b:Guid>{6901AB54-E4ED-44D1-ADE3-0192EB777CE9}</b:Guid>
    <b:Author>
      <b:Author>
        <b:NameList>
          <b:Person>
            <b:Last>Ricardo</b:Last>
            <b:First>Davide</b:First>
          </b:Person>
        </b:NameList>
      </b:Author>
    </b:Author>
    <b:Title>On thepPrinciples of political economy and raxation</b:Title>
    <b:Year>1817</b:Year>
    <b:RefOrder>25</b:RefOrder>
  </b:Source>
  <b:Source>
    <b:Tag>Wal78</b:Tag>
    <b:SourceType>Book</b:SourceType>
    <b:Guid>{B55919DA-F312-4312-96EF-4D9CADA46617}</b:Guid>
    <b:Author>
      <b:Author>
        <b:NameList>
          <b:Person>
            <b:Last>Bagehot</b:Last>
            <b:First>Walter</b:First>
          </b:Person>
        </b:NameList>
      </b:Author>
    </b:Author>
    <b:Title> Lombard Street: a desciption of  the money market</b:Title>
    <b:Year>1878</b:Year>
    <b:Publisher>New York, NY, Kegan Paul</b:Publisher>
    <b:RefOrder>26</b:RefOrder>
  </b:Source>
  <b:Source>
    <b:Tag>Jea07</b:Tag>
    <b:SourceType>Book</b:SourceType>
    <b:Guid>{A3FAC0ED-7D57-445A-BD81-A45C2C310D65}</b:Guid>
    <b:Author>
      <b:Author>
        <b:NameList>
          <b:Person>
            <b:Last>Pollin</b:Last>
            <b:First>Jean-Paul</b:First>
          </b:Person>
          <b:Person>
            <b:Last>Jacquet</b:Last>
            <b:First>Pièrre</b:First>
          </b:Person>
        </b:NameList>
      </b:Author>
    </b:Author>
    <b:Title> Systèmes financiers et croissance</b:Title>
    <b:Year>2007</b:Year>
    <b:Publisher>Document de recherche, Laboratoire d’économie d’Orleans (LEO). </b:Publisher>
    <b:RefOrder>3</b:RefOrder>
  </b:Source>
  <b:Source>
    <b:Tag>Mic09</b:Tag>
    <b:SourceType>Book</b:SourceType>
    <b:Guid>{1C19BB8F-7E82-4243-9C60-2C19FC541843}</b:Guid>
    <b:Author>
      <b:Author>
        <b:NameList>
          <b:Person>
            <b:Last>Fung</b:Last>
            <b:First>Michael</b:First>
          </b:Person>
        </b:NameList>
      </b:Author>
    </b:Author>
    <b:Title>Financial development and economic growth: convergence or divergence?</b:Title>
    <b:Year>2009</b:Year>
    <b:Publisher>Journal of International Money and Finance, 28: 56–67</b:Publisher>
    <b:RefOrder>27</b:RefOrder>
  </b:Source>
  <b:Source>
    <b:Tag>Phi04</b:Tag>
    <b:SourceType>Book</b:SourceType>
    <b:Guid>{348C44C0-72FD-418E-9CBA-1BEAC1022D99}</b:Guid>
    <b:Author>
      <b:Author>
        <b:NameList>
          <b:Person>
            <b:Last>Aghion</b:Last>
            <b:First>Phillipe</b:First>
          </b:Person>
          <b:Person>
            <b:Last>Howitt</b:Last>
            <b:First>Peter</b:First>
          </b:Person>
          <b:Person>
            <b:Last>Mayer-Foulkes</b:Last>
            <b:First>David</b:First>
          </b:Person>
        </b:NameList>
      </b:Author>
    </b:Author>
    <b:Title>The effect of financial development on convergence:theory and evidence.</b:Title>
    <b:Year>2004</b:Year>
    <b:Publisher>National bureau of economic research working Paper 10358.</b:Publisher>
    <b:RefOrder>28</b:RefOrder>
  </b:Source>
  <b:Source>
    <b:Tag>Jea961</b:Tag>
    <b:SourceType>Book</b:SourceType>
    <b:Guid>{0642C132-2B0F-4F2D-9582-675D3E512807}</b:Guid>
    <b:Author>
      <b:Author>
        <b:NameList>
          <b:Person>
            <b:Last>Berthelemy</b:Last>
            <b:First>Jean-Claude</b:First>
          </b:Person>
          <b:Person>
            <b:Last>Varoudakis</b:Last>
            <b:First>Aristomene</b:First>
          </b:Person>
        </b:NameList>
      </b:Author>
    </b:Author>
    <b:Title> Economic growth, convergence clubs, and the role of financial development</b:Title>
    <b:Year>1996</b:Year>
    <b:Publisher>Oxford Economic Papers, 48: 300-328. </b:Publisher>
    <b:RefOrder>29</b:RefOrder>
  </b:Source>
  <b:Source>
    <b:Tag>Bro05</b:Tag>
    <b:SourceType>Book</b:SourceType>
    <b:Guid>{816A0D4A-C0C1-4AD9-9CFA-A708B3356D19}</b:Guid>
    <b:Author>
      <b:Author>
        <b:NameList>
          <b:Person>
            <b:Last>Aka</b:Last>
            <b:First>Brou</b:First>
            <b:Middle>Emmanuel</b:Middle>
          </b:Person>
        </b:NameList>
      </b:Author>
    </b:Author>
    <b:Title>Le rôle des marchés de capitaux dans la croissance et le développement economique</b:Title>
    <b:Year>2005</b:Year>
    <b:Publisher>Centre d’Etudes et de Recherches sur le Développement International (CERDI) </b:Publisher>
    <b:RefOrder>30</b:RefOrder>
  </b:Source>
  <b:Source>
    <b:Tag>Cal02</b:Tag>
    <b:SourceType>Book</b:SourceType>
    <b:Guid>{B08E4A58-49DD-40EA-BB10-9766199E40B0}</b:Guid>
    <b:Author>
      <b:Author>
        <b:NameList>
          <b:Person>
            <b:Last>César</b:Last>
            <b:First>Caldero</b:First>
          </b:Person>
          <b:Person>
            <b:Last>Lin</b:Last>
            <b:First>Liub</b:First>
          </b:Person>
        </b:NameList>
      </b:Author>
    </b:Author>
    <b:Title>The direction of causality between financial development and economic growth</b:Title>
    <b:Year>2002</b:Year>
    <b:Publisher>Journal of Development Economics 72 (2003) 321–334</b:Publisher>
    <b:RefOrder>31</b:RefOrder>
  </b:Source>
  <b:Source>
    <b:Tag>YKe10</b:Tag>
    <b:SourceType>Book</b:SourceType>
    <b:Guid>{5A6484CE-17ED-4315-BFEB-885AB78F08DA}</b:Guid>
    <b:Author>
      <b:Author>
        <b:NameList>
          <b:Person>
            <b:Last>Keho</b:Last>
            <b:First>Y.</b:First>
          </b:Person>
        </b:NameList>
      </b:Author>
    </b:Author>
    <b:Title>Effect of Financial Development on Economic Growth : Does Inflation Matter ? Time Series Evidence from the UEMOA Countries</b:Title>
    <b:Year>2010</b:Year>
    <b:Publisher> International Economic Journal, 24(3), 343–355</b:Publisher>
    <b:RefOrder>32</b:RefOrder>
  </b:Source>
  <b:Source>
    <b:Tag>Syl06</b:Tag>
    <b:SourceType>Book</b:SourceType>
    <b:Guid>{6CBDAE07-0BB9-44EC-93FA-B79AB5C04912}</b:Guid>
    <b:Author>
      <b:Author>
        <b:NameList>
          <b:Person>
            <b:Last>Jeanneney</b:Last>
            <b:First>Sylviane</b:First>
            <b:Middle>Guillaumont</b:Middle>
          </b:Person>
          <b:Person>
            <b:Last>Kpodar</b:Last>
            <b:First>Kangni</b:First>
          </b:Person>
        </b:NameList>
      </b:Author>
    </b:Author>
    <b:Title>Développement financier, instabilité financière et croissance économique</b:Title>
    <b:Year>2006</b:Year>
    <b:Publisher>Economie &amp; prévision 2006/3(n°174), p. 87-111</b:Publisher>
    <b:RefOrder>33</b:RefOrder>
  </b:Source>
  <b:Source>
    <b:Tag>Gar99</b:Tag>
    <b:SourceType>Book</b:SourceType>
    <b:Guid>{71D0DA9C-037A-4F3D-8A17-229AF3D9C6FF}</b:Guid>
    <b:Author>
      <b:Author>
        <b:NameList>
          <b:Person>
            <b:Last>Turunç</b:Last>
            <b:First>Garip</b:First>
          </b:Person>
        </b:NameList>
      </b:Author>
    </b:Author>
    <b:Title>Développement du secteur financier et croissance: le cas des pays émergent méditerranée</b:Title>
    <b:Year>1999</b:Year>
    <b:Publisher>Université Montesquieu-Bordeaux IV/ revue Région et Développement n°10-1999. p. 90-120</b:Publisher>
    <b:RefOrder>34</b:RefOrder>
  </b:Source>
  <b:Source>
    <b:Tag>Kpo</b:Tag>
    <b:SourceType>Book</b:SourceType>
    <b:Guid>{3C4DE7D4-FB2D-453A-A896-C5DF0B588558}</b:Guid>
    <b:Author>
      <b:Author>
        <b:NameList>
          <b:Person>
            <b:Last>Kpodar</b:Last>
            <b:First>K.</b:First>
          </b:Person>
        </b:NameList>
      </b:Author>
    </b:Author>
    <b:Title>Le développement financier et la problématique de réduction de la pauvreté</b:Title>
    <b:Year>2004</b:Year>
    <b:Publisher>CERDI, Université d'Auvergne.</b:Publisher>
    <b:RefOrder>35</b:RefOrder>
  </b:Source>
  <b:Source>
    <b:Tag>BCE16</b:Tag>
    <b:SourceType>Book</b:SourceType>
    <b:Guid>{7C82B031-F460-4ACE-881E-1EEDC4750861}</b:Guid>
    <b:Author>
      <b:Author>
        <b:NameList>
          <b:Person>
            <b:Last>BCEAO</b:Last>
          </b:Person>
        </b:NameList>
      </b:Author>
    </b:Author>
    <b:Title>Rapport annuel</b:Title>
    <b:Year>2016</b:Year>
    <b:RefOrder>36</b:RefOrder>
  </b:Source>
  <b:Source>
    <b:Tag>DCN90</b:Tag>
    <b:SourceType>Book</b:SourceType>
    <b:Guid>{3AD6D82C-6FCE-43FA-846B-760E6D4D8352}</b:Guid>
    <b:Author>
      <b:Author>
        <b:NameList>
          <b:Person>
            <b:Last>North</b:Last>
            <b:First>D.</b:First>
            <b:Middle>C.</b:Middle>
          </b:Person>
        </b:NameList>
      </b:Author>
    </b:Author>
    <b:Title> institutions, institutional change, and economic performance. </b:Title>
    <b:Year>1990</b:Year>
    <b:Publisher>Cambridge University Press. </b:Publisher>
    <b:RefOrder>37</b:RefOrder>
  </b:Source>
  <b:Source>
    <b:Tag>DAc04</b:Tag>
    <b:SourceType>Book</b:SourceType>
    <b:Guid>{40003A70-871C-4581-84D0-9D89FA7452E1}</b:Guid>
    <b:Author>
      <b:Author>
        <b:NameList>
          <b:Person>
            <b:Last>Acemoglu</b:Last>
            <b:First>D.</b:First>
          </b:Person>
          <b:Person>
            <b:Last>Johnson</b:Last>
            <b:First>S.</b:First>
          </b:Person>
          <b:Person>
            <b:Last>Robinson</b:Last>
            <b:First>J.</b:First>
          </b:Person>
        </b:NameList>
      </b:Author>
    </b:Author>
    <b:Title>Institutions as the fundamental cause of long-Run growth</b:Title>
    <b:Year>2004</b:Year>
    <b:Publisher> national bureau of economic research, working paper 10481. </b:Publisher>
    <b:RefOrder>38</b:RefOrder>
  </b:Source>
  <b:Source>
    <b:Tag>RLe92</b:Tag>
    <b:SourceType>Book</b:SourceType>
    <b:Guid>{E244DB0D-297A-45EF-9647-CCBD0B9AF814}</b:Guid>
    <b:Author>
      <b:Author>
        <b:NameList>
          <b:Person>
            <b:Last>Levine</b:Last>
            <b:First>R.</b:First>
          </b:Person>
          <b:Person>
            <b:Last>Renelt</b:Last>
            <b:First>D.</b:First>
          </b:Person>
        </b:NameList>
      </b:Author>
    </b:Author>
    <b:Title> A sensitivity analysis of cross country growth regressions </b:Title>
    <b:Year>1992</b:Year>
    <b:Publisher>American Economic Review, 82(4), 942–963</b:Publisher>
    <b:RefOrder>39</b:RefOrder>
  </b:Source>
  <b:Source>
    <b:Tag>NMe07</b:Tag>
    <b:SourceType>Book</b:SourceType>
    <b:Guid>{E8DF5EA9-59C6-434D-8C49-7F101EF028A9}</b:Guid>
    <b:Author>
      <b:Author>
        <b:NameList>
          <b:Person>
            <b:Last>Meisel</b:Last>
            <b:First>N.</b:First>
          </b:Person>
          <b:Person>
            <b:Last>Mvogo</b:Last>
            <b:First>Jean-Paul</b:First>
          </b:Person>
        </b:NameList>
      </b:Author>
    </b:Author>
    <b:Title>Quelles politiques de développement financier en zone franc ?</b:Title>
    <b:Year>2007</b:Year>
    <b:Publisher>Working Paper, Paris, Agence Française de Développement</b:Publisher>
    <b:RefOrder>4</b:RefOrder>
  </b:Source>
  <b:Source>
    <b:Tag>Mar93</b:Tag>
    <b:SourceType>Book</b:SourceType>
    <b:Guid>{F74AA8A0-E201-404F-BC81-7B4233C455ED}</b:Guid>
    <b:Author>
      <b:Author>
        <b:NameList>
          <b:Person>
            <b:Last>Pagano</b:Last>
            <b:First>Marco</b:First>
          </b:Person>
        </b:NameList>
      </b:Author>
    </b:Author>
    <b:Title>Financial markets and growth</b:Title>
    <b:Year>1993</b:Year>
    <b:Publisher>European Economic Review 37 (1993) 613-622. North-Holland</b:Publisher>
    <b:RefOrder>40</b:RefOrder>
  </b:Source>
  <b:Source>
    <b:Tag>JMK36</b:Tag>
    <b:SourceType>Book</b:SourceType>
    <b:Guid>{67AC200B-42DC-4339-80EF-F77E53BA697A}</b:Guid>
    <b:Author>
      <b:Author>
        <b:NameList>
          <b:Person>
            <b:Last>Keynes</b:Last>
            <b:First>J.</b:First>
            <b:Middle>M.</b:Middle>
          </b:Person>
        </b:NameList>
      </b:Author>
    </b:Author>
    <b:Title>Théorie générale, de l'emploi, de l'interêt et de la monnaie</b:Title>
    <b:Year>1936</b:Year>
    <b:RefOrder>41</b:RefOrder>
  </b:Source>
  <b:Source>
    <b:Tag>Chr12</b:Tag>
    <b:SourceType>Book</b:SourceType>
    <b:Guid>{243F34A2-9E1E-4026-B415-ADA5EA06493B}</b:Guid>
    <b:Author>
      <b:Author>
        <b:NameList>
          <b:Person>
            <b:Last>Boucher</b:Last>
            <b:First>Christophe</b:First>
          </b:Person>
          <b:Person>
            <b:Last>Capelle-Blancard</b:Last>
            <b:First>Gunther</b:First>
          </b:Person>
          <b:Person>
            <b:Last>Couppey-Soubeyran</b:Last>
            <b:First>Jézabel</b:First>
          </b:Person>
          <b:Person>
            <b:Last>Havrylchy</b:Last>
            <b:First>Olena</b:First>
          </b:Person>
        </b:NameList>
      </b:Author>
    </b:Author>
    <b:Title>Quand la ﬁnance ne sert plus la croissance</b:Title>
    <b:Year>2012</b:Year>
    <b:Publisher>Éditions La Découverte, collection Repères, Paris, 2012</b:Publisher>
    <b:RefOrder>42</b:RefOrder>
  </b:Source>
  <b:Source>
    <b:Tag>Fra64</b:Tag>
    <b:SourceType>Book</b:SourceType>
    <b:Guid>{1C4E12C1-DC5D-4F9A-89D8-1F25ACEB597B}</b:Guid>
    <b:Author>
      <b:Author>
        <b:NameList>
          <b:Person>
            <b:Last>Perroux</b:Last>
            <b:First>François</b:First>
          </b:Person>
        </b:NameList>
      </b:Author>
    </b:Author>
    <b:Title> L'économie du XXème siècle</b:Title>
    <b:Year>1964</b:Year>
    <b:Publisher>PUF, 2e édition, 692p.</b:Publisher>
    <b:RefOrder>43</b:RefOrder>
  </b:Source>
  <b:Source>
    <b:Tag>Sim71</b:Tag>
    <b:SourceType>Book</b:SourceType>
    <b:Guid>{46E8DD00-D8C7-4566-80FA-181D42AC4BB0}</b:Guid>
    <b:Author>
      <b:Author>
        <b:NameList>
          <b:Person>
            <b:Last>Kuznets</b:Last>
            <b:First>Simon</b:First>
          </b:Person>
        </b:NameList>
      </b:Author>
    </b:Author>
    <b:Title>Economic growth of nations : total output and production structure</b:Title>
    <b:Year>1971</b:Year>
    <b:Publisher>Belknap Press of Harvard University Press, 363 p</b:Publisher>
    <b:RefOrder>44</b:RefOrder>
  </b:Source>
  <b:Source>
    <b:Tag>Dou83</b:Tag>
    <b:SourceType>Book</b:SourceType>
    <b:Guid>{313EEBDF-4C73-4F6E-8A68-498637CA1C1D}</b:Guid>
    <b:Author>
      <b:Author>
        <b:NameList>
          <b:Person>
            <b:Last>Diamond</b:Last>
            <b:First>Douglas</b:First>
            <b:Middle>W.</b:Middle>
          </b:Person>
          <b:Person>
            <b:Last>Dybvig</b:Last>
            <b:First>Philip</b:First>
            <b:Middle>H.</b:Middle>
          </b:Person>
        </b:NameList>
      </b:Author>
    </b:Author>
    <b:Title>Bank Runs, Deposit Insurance, and Liquidity</b:Title>
    <b:Year>1983</b:Year>
    <b:Publisher>The Journal of Political Economy, Vol. 91, No. 3. (Jun., 1983), pp. 401-419.</b:Publisher>
    <b:RefOrder>45</b:RefOrder>
  </b:Source>
  <b:Source>
    <b:Tag>Doi16</b:Tag>
    <b:SourceType>Book</b:SourceType>
    <b:Guid>{E8317405-A5F5-4438-9B89-D231F0545B18}</b:Guid>
    <b:Author>
      <b:Author>
        <b:NameList>
          <b:Person>
            <b:Last>Business</b:Last>
            <b:First>Doing</b:First>
          </b:Person>
        </b:NameList>
      </b:Author>
    </b:Author>
    <b:Title>Rapport annuel</b:Title>
    <b:Year>2016</b:Year>
    <b:Publisher>groupe banque mondiale</b:Publisher>
    <b:RefOrder>46</b:RefOrder>
  </b:Source>
  <b:Source>
    <b:Tag>Sey11</b:Tag>
    <b:SourceType>Book</b:SourceType>
    <b:Guid>{8B3021E3-5673-4A6E-8A5D-870919A9C296}</b:Guid>
    <b:Author>
      <b:Author>
        <b:NameList>
          <b:Person>
            <b:Last>Ouédraogo</b:Last>
            <b:First>Seydou</b:First>
          </b:Person>
        </b:NameList>
      </b:Author>
    </b:Author>
    <b:Title>Concentration Bancaire, Profitabilité et Développement Financier Bancaires dans L’UEMOA</b:Title>
    <b:Year>2011</b:Year>
    <b:RefOrder>47</b:RefOrder>
  </b:Source>
  <b:Source>
    <b:Tag>You10</b:Tag>
    <b:SourceType>Book</b:SourceType>
    <b:Guid>{6D16BF74-D03C-492C-879F-DA2ABF0AF70F}</b:Guid>
    <b:Author>
      <b:Author>
        <b:NameList>
          <b:Person>
            <b:Last>Kiendrébeogo</b:Last>
            <b:First>Youssouf</b:First>
          </b:Person>
        </b:NameList>
      </b:Author>
    </b:Author>
    <b:Title>Développement Financier et Pauvreté Dans L’UEMOA </b:Title>
    <b:Year>2010</b:Year>
    <b:Publisher>Université de Montesquieu-Bordeaux IV</b:Publisher>
    <b:RefOrder>48</b:RefOrder>
  </b:Source>
  <b:Source>
    <b:Tag>Rob13</b:Tag>
    <b:SourceType>Book</b:SourceType>
    <b:Guid>{902D5805-CE2D-4547-A4A3-C0C94329B394}</b:Guid>
    <b:Author>
      <b:Author>
        <b:NameList>
          <b:Person>
            <b:Last>Barro</b:Last>
            <b:First>Robert</b:First>
          </b:Person>
          <b:Person>
            <b:Last>Lee</b:Last>
            <b:First>Jong-Wha</b:First>
          </b:Person>
        </b:NameList>
      </b:Author>
    </b:Author>
    <b:Title>A new data set of education attainment in the word,1950-2010</b:Title>
    <b:Year>2013</b:Year>
    <b:Publisher>journal of development economics 104: 1984-1998</b:Publisher>
    <b:RefOrder>49</b:RefOrder>
  </b:Source>
  <b:Source>
    <b:Tag>RCM92</b:Tag>
    <b:SourceType>Book</b:SourceType>
    <b:Guid>{AC4B9D95-CAB1-473D-A04C-4FE3F4BEE4C2}</b:Guid>
    <b:Author>
      <b:Author>
        <b:NameList>
          <b:Person>
            <b:Last>Merton</b:Last>
            <b:First>R.</b:First>
            <b:Middle>C.</b:Middle>
          </b:Person>
        </b:NameList>
      </b:Author>
    </b:Author>
    <b:Title>Financial Innovation and Economic Performance</b:Title>
    <b:Year>1992</b:Year>
    <b:Publisher>Journal Applied Corporate Finance. Winter, Vol. 4 n°4,p. 12-22</b:Publisher>
    <b:RefOrder>5</b:RefOrder>
  </b:Source>
  <b:Source>
    <b:Tag>DCN81</b:Tag>
    <b:SourceType>Book</b:SourceType>
    <b:Guid>{DAB9D066-B9E7-46AB-9667-E6F870856C09}</b:Guid>
    <b:Author>
      <b:Author>
        <b:NameList>
          <b:Person>
            <b:Last>North</b:Last>
            <b:First>D.</b:First>
            <b:Middle>C.</b:Middle>
          </b:Person>
        </b:NameList>
      </b:Author>
    </b:Author>
    <b:Title>Structure and Change in Economic History</b:Title>
    <b:Year>1981</b:Year>
    <b:Publisher>New York: Norton</b:Publisher>
    <b:RefOrder>50</b:RefOrder>
  </b:Source>
  <b:Source>
    <b:Tag>CWJ69</b:Tag>
    <b:SourceType>Book</b:SourceType>
    <b:Guid>{647F326A-0487-4020-B4B5-4468609C8A2A}</b:Guid>
    <b:Author>
      <b:Author>
        <b:NameList>
          <b:Person>
            <b:Last>Granger</b:Last>
            <b:First>C.W.J.</b:First>
          </b:Person>
        </b:NameList>
      </b:Author>
    </b:Author>
    <b:Title>Investigating Causal Relations by Econometric Models and Cross-Spectral Methods</b:Title>
    <b:Year>1969</b:Year>
    <b:Publisher>Econometrica, 37(3), pp. 424-438.</b:Publisher>
    <b:RefOrder>51</b:RefOrder>
  </b:Source>
  <b:Source>
    <b:Tag>CWJ03</b:Tag>
    <b:SourceType>Book</b:SourceType>
    <b:Guid>{D6ECF8BB-0970-43E2-8DE6-68B127B9355E}</b:Guid>
    <b:Author>
      <b:Author>
        <b:NameList>
          <b:Person>
            <b:Last>Granger</b:Last>
            <b:First>C.W.J.</b:First>
          </b:Person>
        </b:NameList>
      </b:Author>
    </b:Author>
    <b:Title> Some Aspects of Causal Relationships</b:Title>
    <b:Year>2003</b:Year>
    <b:Publisher> Journal of Econometrics, 112, p. 69-71. </b:Publisher>
    <b:RefOrder>52</b:RefOrder>
  </b:Source>
  <b:Source>
    <b:Tag>MAr98</b:Tag>
    <b:SourceType>Book</b:SourceType>
    <b:Guid>{E41B6425-EEAE-47CF-B8CE-21E041D06438}</b:Guid>
    <b:Author>
      <b:Author>
        <b:NameList>
          <b:Person>
            <b:Last>Arelano</b:Last>
            <b:First>M.</b:First>
          </b:Person>
          <b:Person>
            <b:Last>Bond</b:Last>
            <b:First>S.</b:First>
          </b:Person>
        </b:NameList>
      </b:Author>
    </b:Author>
    <b:Title>Dynamic panel data estimating using DPPD</b:Title>
    <b:Year>1998</b:Year>
    <b:Publisher>A guide for user</b:Publisher>
    <b:RefOrder>53</b:RefOrder>
  </b:Source>
  <b:Source>
    <b:Tag>HJa01</b:Tag>
    <b:SourceType>Book</b:SourceType>
    <b:Guid>{E8091D50-2694-4C8D-90FE-44078B77EADA}</b:Guid>
    <b:Author>
      <b:Author>
        <b:NameList>
          <b:Person>
            <b:Last>Jalilian</b:Last>
            <b:First>H.</b:First>
          </b:Person>
          <b:Person>
            <b:Last>Kirkpatrick</b:Last>
            <b:First>C.</b:First>
          </b:Person>
        </b:NameList>
      </b:Author>
    </b:Author>
    <b:Title> Financial Development and Poverty Reduction in Developing Countries </b:Title>
    <b:Year>2001</b:Year>
    <b:Publisher> International Journal of Finance and Economics, 7(2), 97-108.</b:Publisher>
    <b:RefOrder>54</b:RefOrder>
  </b:Source>
  <b:Source>
    <b:Tag>Ros05</b:Tag>
    <b:SourceType>Book</b:SourceType>
    <b:Guid>{477BD82F-153F-4E67-BF56-B44E41500C8D}</b:Guid>
    <b:Author>
      <b:Author>
        <b:NameList>
          <b:Person>
            <b:Last>Levine</b:Last>
            <b:First>Ross</b:First>
          </b:Person>
        </b:NameList>
      </b:Author>
    </b:Author>
    <b:Title>Finance and Growth: theory and evidence</b:Title>
    <b:Year>2005</b:Year>
    <b:Publisher>in Aghion &amp; Durlauf (dir), Handbook of Economic Growth, Elsevier</b:Publisher>
    <b:RefOrder>55</b:RefOrder>
  </b:Source>
  <b:Source>
    <b:Tag>Ste12</b:Tag>
    <b:SourceType>Book</b:SourceType>
    <b:Guid>{A9F63BEC-CCF2-4ABA-8F12-7CA56C590243}</b:Guid>
    <b:Author>
      <b:Author>
        <b:NameList>
          <b:Person>
            <b:Last>Cecchetti</b:Last>
            <b:First>Stephen</b:First>
          </b:Person>
          <b:Person>
            <b:Last>Kharroubi</b:Last>
            <b:First>Enisse</b:First>
          </b:Person>
        </b:NameList>
      </b:Author>
    </b:Author>
    <b:Title>  Reassessing the Impact of Finance on Growth </b:Title>
    <b:Year>2012</b:Year>
    <b:Publisher>BIS working paper, n° 381, juillet.</b:Publisher>
    <b:RefOrder>56</b:RefOrder>
  </b:Source>
  <b:Source>
    <b:Tag>HHa01</b:Tag>
    <b:SourceType>Book</b:SourceType>
    <b:Guid>{89869E6E-0948-43DF-9B21-F15D60061F1D}</b:Guid>
    <b:Author>
      <b:Author>
        <b:NameList>
          <b:Person>
            <b:Last>Hansen</b:Last>
            <b:First>H.</b:First>
          </b:Person>
          <b:Person>
            <b:Last>Tarp</b:Last>
            <b:First>F.</b:First>
          </b:Person>
        </b:NameList>
      </b:Author>
    </b:Author>
    <b:Title>Aid and growth regressions</b:Title>
    <b:Year>2001</b:Year>
    <b:Publisher>Journal of Development Economics, 64, pp 547-570</b:Publisher>
    <b:RefOrder>57</b:RefOrder>
  </b:Source>
  <b:Source>
    <b:Tag>RLe01</b:Tag>
    <b:SourceType>Book</b:SourceType>
    <b:Guid>{BA90BF52-D8E2-4EDE-B099-C3D3965D9160}</b:Guid>
    <b:Author>
      <b:Author>
        <b:NameList>
          <b:Person>
            <b:Last>Lensik</b:Last>
            <b:First>R.</b:First>
          </b:Person>
          <b:Person>
            <b:Last>White</b:Last>
            <b:First>H.</b:First>
          </b:Person>
        </b:NameList>
      </b:Author>
    </b:Author>
    <b:Title> Are There Negative Returns to Aid? </b:Title>
    <b:Year>2001</b:Year>
    <b:Publisher>Journal of Development Studies, 37 (6), pp 42–65.</b:Publisher>
    <b:RefOrder>58</b:RefOrder>
  </b:Source>
  <b:Source>
    <b:Tag>PNU11</b:Tag>
    <b:SourceType>Book</b:SourceType>
    <b:Guid>{04284AA5-CE26-4CD3-9661-3FF55A06BDAE}</b:Guid>
    <b:Author>
      <b:Author>
        <b:NameList>
          <b:Person>
            <b:Last>PNUD</b:Last>
          </b:Person>
        </b:NameList>
      </b:Author>
    </b:Author>
    <b:Title>Rapport sur les statistiques  du développement humain</b:Title>
    <b:Year>2011</b:Year>
    <b:RefOrder>59</b:RefOrder>
  </b:Source>
  <b:Source>
    <b:Tag>Chr90</b:Tag>
    <b:SourceType>Book</b:SourceType>
    <b:Guid>{184E9F06-4D74-4C4A-8CF1-3B03602CB66F}</b:Guid>
    <b:Author>
      <b:Author>
        <b:NameList>
          <b:Person>
            <b:Last>Tavéra</b:Last>
            <b:First>Christophe</b:First>
          </b:Person>
        </b:NameList>
      </b:Author>
    </b:Author>
    <b:Title>Causalité et  Cointégration : le cas des cours mondiaux des produits du soja</b:Title>
    <b:Year>1990</b:Year>
    <b:Publisher>INRA  Centre de Rennes</b:Publisher>
    <b:RefOrder>60</b:RefOrder>
  </b:Source>
  <b:Source>
    <b:Tag>Phi92</b:Tag>
    <b:SourceType>Book</b:SourceType>
    <b:Guid>{770BC136-7FB6-4C4F-9061-EFB8B9D680D7}</b:Guid>
    <b:Author>
      <b:Author>
        <b:NameList>
          <b:Person>
            <b:Last>Mills</b:Last>
            <b:First>Phillipe</b:First>
          </b:Person>
          <b:Person>
            <b:Last>Quinet</b:Last>
            <b:First>Alain</b:First>
          </b:Person>
        </b:NameList>
      </b:Author>
    </b:Author>
    <b:Title>Depense publique et croissance</b:Title>
    <b:Year>1992</b:Year>
    <b:Publisher>Revue française d'économie. Volume 7 N°3, 1992. pp. 29-60.</b:Publisher>
    <b:RefOrder>61</b:RefOrder>
  </b:Source>
  <b:Source>
    <b:Tag>BCE06</b:Tag>
    <b:SourceType>Book</b:SourceType>
    <b:Guid>{E261344E-455E-4336-B0A9-F9BC879C08D0}</b:Guid>
    <b:Author>
      <b:Author>
        <b:NameList>
          <b:Person>
            <b:Last>BCEAO</b:Last>
          </b:Person>
        </b:NameList>
      </b:Author>
    </b:Author>
    <b:Title>revue de la stabilité financière dans l'union économique et monétaire ouest africaine   </b:Title>
    <b:Year>2006</b:Year>
    <b:RefOrder>62</b:RefOrder>
  </b:Source>
  <b:Source>
    <b:Tag>RaS11</b:Tag>
    <b:SourceType>Book</b:SourceType>
    <b:Guid>{27236D23-9BD7-4FE8-9342-305A78A19FC2}</b:Guid>
    <b:Author>
      <b:Author>
        <b:NameList>
          <b:Person>
            <b:Last>Ouédraogo</b:Last>
            <b:First>Ra-Sablga</b:First>
            <b:Middle>Seydou</b:Middle>
          </b:Person>
        </b:NameList>
      </b:Author>
    </b:Author>
    <b:Title>Banque et Transmission Monetaire dans l’UEMOA: Effets des bilans bancaires, de la concentration bancaire et de l’excès de liquidité bancaire sur l’efficacité de la politique monétaire de la BCEAO. </b:Title>
    <b:Year>2011</b:Year>
    <b:Publisher>Thèse de Doctorat, Centre d’Études et de Recherches sur le Développement International</b:Publisher>
    <b:RefOrder>63</b:RefOrder>
  </b:Source>
</b:Sources>
</file>

<file path=customXml/itemProps1.xml><?xml version="1.0" encoding="utf-8"?>
<ds:datastoreItem xmlns:ds="http://schemas.openxmlformats.org/officeDocument/2006/customXml" ds:itemID="{9D8315CA-90A2-43F0-9C25-8E5774EEC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17</Pages>
  <Words>8128</Words>
  <Characters>46332</Characters>
  <Application>Microsoft Office Word</Application>
  <DocSecurity>0</DocSecurity>
  <Lines>386</Lines>
  <Paragraphs>108</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Etienne</dc:creator>
  <cp:lastModifiedBy>HP</cp:lastModifiedBy>
  <cp:revision>119</cp:revision>
  <cp:lastPrinted>2017-12-06T22:00:00Z</cp:lastPrinted>
  <dcterms:created xsi:type="dcterms:W3CDTF">2025-01-12T11:02:00Z</dcterms:created>
  <dcterms:modified xsi:type="dcterms:W3CDTF">2025-02-10T11:03:00Z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id="sICNuHcu"/&gt;&lt;style id="http://www.zotero.org/styles/apa" locale="fr-FR" hasBibliography="1" bibliographyStyleHasBeenSet="0"/&gt;&lt;prefs&gt;&lt;pref name="fieldType" value="Field"/&gt;&lt;/prefs&gt;&lt;/data&gt;</vt:lpwstr>
  </property>
  <property fmtid="{D5CDD505-2E9C-101B-9397-08002B2CF9AE}" pid="3" name="KSOProductBuildVer">
    <vt:lpwstr>1036-12.2.0.19307</vt:lpwstr>
  </property>
  <property fmtid="{D5CDD505-2E9C-101B-9397-08002B2CF9AE}" pid="4" name="ICV">
    <vt:lpwstr>48D1B4E2A8EB4711BA89251B289B04D2_13</vt:lpwstr>
  </property>
</Properties>
</file>