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sz w:val="24"/>
          <w:szCs w:val="24"/>
        </w:rPr>
      </w:pPr>
      <w:r w:rsidDel="00000000" w:rsidR="00000000" w:rsidRPr="00000000">
        <w:rPr>
          <w:sz w:val="24"/>
          <w:szCs w:val="24"/>
          <w:rtl w:val="0"/>
        </w:rPr>
        <w:t xml:space="preserve">Communiqué de presse </w:t>
      </w:r>
    </w:p>
    <w:p w:rsidR="00000000" w:rsidDel="00000000" w:rsidP="00000000" w:rsidRDefault="00000000" w:rsidRPr="00000000" w14:paraId="00000002">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40" w:before="240" w:lineRule="auto"/>
        <w:jc w:val="both"/>
        <w:rPr>
          <w:b w:val="1"/>
          <w:sz w:val="24"/>
          <w:szCs w:val="24"/>
        </w:rPr>
      </w:pPr>
      <w:r w:rsidDel="00000000" w:rsidR="00000000" w:rsidRPr="00000000">
        <w:rPr>
          <w:b w:val="1"/>
          <w:sz w:val="24"/>
          <w:szCs w:val="24"/>
          <w:rtl w:val="0"/>
        </w:rPr>
        <w:t xml:space="preserve">Le Groupe InTouch acquiert des licences d'Établissement de Paiement et d'Établissement de Monnaie Électronique  dans la zone UEMOA</w:t>
      </w:r>
    </w:p>
    <w:p w:rsidR="00000000" w:rsidDel="00000000" w:rsidP="00000000" w:rsidRDefault="00000000" w:rsidRPr="00000000" w14:paraId="00000004">
      <w:pPr>
        <w:spacing w:after="240" w:before="240" w:lineRule="auto"/>
        <w:jc w:val="both"/>
        <w:rPr>
          <w:sz w:val="24"/>
          <w:szCs w:val="24"/>
        </w:rPr>
      </w:pPr>
      <w:r w:rsidDel="00000000" w:rsidR="00000000" w:rsidRPr="00000000">
        <w:rPr>
          <w:b w:val="1"/>
          <w:sz w:val="24"/>
          <w:szCs w:val="24"/>
          <w:rtl w:val="0"/>
        </w:rPr>
        <w:t xml:space="preserve">Ouagadougou, Burkina Faso – Le 2 Juillet 2025</w:t>
      </w:r>
      <w:r w:rsidDel="00000000" w:rsidR="00000000" w:rsidRPr="00000000">
        <w:rPr>
          <w:sz w:val="24"/>
          <w:szCs w:val="24"/>
          <w:rtl w:val="0"/>
        </w:rPr>
        <w:t xml:space="preserve"> – </w:t>
      </w:r>
      <w:r w:rsidDel="00000000" w:rsidR="00000000" w:rsidRPr="00000000">
        <w:rPr>
          <w:b w:val="1"/>
          <w:sz w:val="24"/>
          <w:szCs w:val="24"/>
          <w:rtl w:val="0"/>
        </w:rPr>
        <w:t xml:space="preserve">Le Groupe InTouch est fier</w:t>
      </w:r>
      <w:r w:rsidDel="00000000" w:rsidR="00000000" w:rsidRPr="00000000">
        <w:rPr>
          <w:sz w:val="24"/>
          <w:szCs w:val="24"/>
          <w:rtl w:val="0"/>
        </w:rPr>
        <w:t xml:space="preserve"> d'annoncer une avancée stratégique majeure : l’obtention du statut d’Établissement de Paiement (EDP)</w:t>
      </w:r>
      <w:r w:rsidDel="00000000" w:rsidR="00000000" w:rsidRPr="00000000">
        <w:rPr>
          <w:b w:val="1"/>
          <w:sz w:val="24"/>
          <w:szCs w:val="24"/>
          <w:rtl w:val="0"/>
        </w:rPr>
        <w:t xml:space="preserve"> au Burkina Faso, au Mali, et en Côte d'Ivoire </w:t>
      </w:r>
      <w:r w:rsidDel="00000000" w:rsidR="00000000" w:rsidRPr="00000000">
        <w:rPr>
          <w:sz w:val="24"/>
          <w:szCs w:val="24"/>
          <w:rtl w:val="0"/>
        </w:rPr>
        <w:t xml:space="preserve">et</w:t>
      </w:r>
      <w:r w:rsidDel="00000000" w:rsidR="00000000" w:rsidRPr="00000000">
        <w:rPr>
          <w:b w:val="1"/>
          <w:sz w:val="24"/>
          <w:szCs w:val="24"/>
          <w:rtl w:val="0"/>
        </w:rPr>
        <w:t xml:space="preserve"> </w:t>
      </w:r>
      <w:r w:rsidDel="00000000" w:rsidR="00000000" w:rsidRPr="00000000">
        <w:rPr>
          <w:sz w:val="24"/>
          <w:szCs w:val="24"/>
          <w:rtl w:val="0"/>
        </w:rPr>
        <w:t xml:space="preserve">de la licence  d’Établissement de Monnaie Électronique (EME) </w:t>
      </w:r>
      <w:r w:rsidDel="00000000" w:rsidR="00000000" w:rsidRPr="00000000">
        <w:rPr>
          <w:b w:val="1"/>
          <w:sz w:val="24"/>
          <w:szCs w:val="24"/>
          <w:rtl w:val="0"/>
        </w:rPr>
        <w:t xml:space="preserve">au Sénégal</w:t>
      </w:r>
      <w:r w:rsidDel="00000000" w:rsidR="00000000" w:rsidRPr="00000000">
        <w:rPr>
          <w:sz w:val="24"/>
          <w:szCs w:val="24"/>
          <w:rtl w:val="0"/>
        </w:rPr>
        <w:t xml:space="preserve">. Ces agréments délivrés par la BCEAO (Banque Centrale des États de l'Afrique de l'Ouest) marquent un tournant historique dans la mission de InTouch : offrir des services de paiement sécurisés, conformes à la réglementation et accessibles à tous les acteurs de l’économie, du petit commerçant à la grande entreprise.</w:t>
      </w:r>
    </w:p>
    <w:p w:rsidR="00000000" w:rsidDel="00000000" w:rsidP="00000000" w:rsidRDefault="00000000" w:rsidRPr="00000000" w14:paraId="00000005">
      <w:pPr>
        <w:spacing w:after="240" w:before="240" w:lineRule="auto"/>
        <w:jc w:val="both"/>
        <w:rPr>
          <w:b w:val="1"/>
          <w:sz w:val="24"/>
          <w:szCs w:val="24"/>
        </w:rPr>
      </w:pPr>
      <w:r w:rsidDel="00000000" w:rsidR="00000000" w:rsidRPr="00000000">
        <w:rPr>
          <w:b w:val="1"/>
          <w:sz w:val="24"/>
          <w:szCs w:val="24"/>
          <w:rtl w:val="0"/>
        </w:rPr>
        <w:t xml:space="preserve">Une reconnaissance d’envergure pour InTouch</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Ces licences offrent à InTouch de nouvelles opportunités de renforcer son leadership dans la fintech en Afrique de l’Ouest, consolidant sa place d’acteur panafricain du paiement omnicanal dans le secteur du B2B. InTouch continuera de se différencier par ses solutions technologiques sur mesure, adaptées aux besoins spécifiques de ses partenaires stratégiques, tels que les entreprises, institutions financières et marchands.</w:t>
      </w:r>
    </w:p>
    <w:p w:rsidR="00000000" w:rsidDel="00000000" w:rsidP="00000000" w:rsidRDefault="00000000" w:rsidRPr="00000000" w14:paraId="00000007">
      <w:pPr>
        <w:spacing w:after="240" w:before="240" w:lineRule="auto"/>
        <w:jc w:val="both"/>
        <w:rPr>
          <w:sz w:val="24"/>
          <w:szCs w:val="24"/>
        </w:rPr>
      </w:pPr>
      <w:r w:rsidDel="00000000" w:rsidR="00000000" w:rsidRPr="00000000">
        <w:rPr>
          <w:b w:val="1"/>
          <w:i w:val="1"/>
          <w:sz w:val="24"/>
          <w:szCs w:val="24"/>
          <w:rtl w:val="0"/>
        </w:rPr>
        <w:t xml:space="preserve">"</w:t>
      </w:r>
      <w:r w:rsidDel="00000000" w:rsidR="00000000" w:rsidRPr="00000000">
        <w:rPr>
          <w:i w:val="1"/>
          <w:sz w:val="24"/>
          <w:szCs w:val="24"/>
          <w:rtl w:val="0"/>
        </w:rPr>
        <w:t xml:space="preserve">Ces agréments représentent bien plus qu’une simple reconnaissance de notre travail. Ils incarnent notre engagement à la transformation du paysage financier de l’Afrique. Nous restons résolument tournés vers l’innovation pour offrir des solutions de paiement de qualité, personnalisées pour chacun de nos partenaires." –</w:t>
      </w:r>
      <w:r w:rsidDel="00000000" w:rsidR="00000000" w:rsidRPr="00000000">
        <w:rPr>
          <w:sz w:val="24"/>
          <w:szCs w:val="24"/>
          <w:rtl w:val="0"/>
        </w:rPr>
        <w:t xml:space="preserve"> </w:t>
      </w:r>
      <w:r w:rsidDel="00000000" w:rsidR="00000000" w:rsidRPr="00000000">
        <w:rPr>
          <w:b w:val="1"/>
          <w:sz w:val="24"/>
          <w:szCs w:val="24"/>
          <w:rtl w:val="0"/>
        </w:rPr>
        <w:t xml:space="preserve">Omar Cissé</w:t>
      </w:r>
      <w:r w:rsidDel="00000000" w:rsidR="00000000" w:rsidRPr="00000000">
        <w:rPr>
          <w:sz w:val="24"/>
          <w:szCs w:val="24"/>
          <w:rtl w:val="0"/>
        </w:rPr>
        <w:t xml:space="preserve">, CEO du Groupe InTouch.</w:t>
      </w:r>
    </w:p>
    <w:p w:rsidR="00000000" w:rsidDel="00000000" w:rsidP="00000000" w:rsidRDefault="00000000" w:rsidRPr="00000000" w14:paraId="00000008">
      <w:pPr>
        <w:spacing w:after="240" w:before="240" w:lineRule="auto"/>
        <w:jc w:val="both"/>
        <w:rPr>
          <w:sz w:val="24"/>
          <w:szCs w:val="24"/>
          <w:highlight w:val="yellow"/>
        </w:rPr>
      </w:pPr>
      <w:r w:rsidDel="00000000" w:rsidR="00000000" w:rsidRPr="00000000">
        <w:rPr>
          <w:sz w:val="24"/>
          <w:szCs w:val="24"/>
          <w:rtl w:val="0"/>
        </w:rPr>
        <w:t xml:space="preserve">Dans cette même perspective, InTouch a également acquis un agrément en qualité d’</w:t>
      </w:r>
      <w:r w:rsidDel="00000000" w:rsidR="00000000" w:rsidRPr="00000000">
        <w:rPr>
          <w:b w:val="1"/>
          <w:sz w:val="24"/>
          <w:szCs w:val="24"/>
          <w:rtl w:val="0"/>
        </w:rPr>
        <w:t xml:space="preserve">Établissement de Transfert d’Argent en Guinée</w:t>
      </w:r>
      <w:r w:rsidDel="00000000" w:rsidR="00000000" w:rsidRPr="00000000">
        <w:rPr>
          <w:sz w:val="24"/>
          <w:szCs w:val="24"/>
          <w:rtl w:val="0"/>
        </w:rPr>
        <w:t xml:space="preserve"> ainsi que celui de </w:t>
      </w:r>
      <w:r w:rsidDel="00000000" w:rsidR="00000000" w:rsidRPr="00000000">
        <w:rPr>
          <w:b w:val="1"/>
          <w:sz w:val="24"/>
          <w:szCs w:val="24"/>
          <w:rtl w:val="0"/>
        </w:rPr>
        <w:t xml:space="preserve">Payment Service Provider (PSP) en Tanzanie</w:t>
      </w:r>
      <w:r w:rsidDel="00000000" w:rsidR="00000000" w:rsidRPr="00000000">
        <w:rPr>
          <w:sz w:val="24"/>
          <w:szCs w:val="24"/>
          <w:rtl w:val="0"/>
        </w:rPr>
        <w:t xml:space="preserve">. Ces agréments, délivrés par la BCRG (Banque Centrale de la République de Guinée) et la BOT (Bank of Tanzania), témoignent de l’expansion continue de l'entreprise à l’international et de sa capacité à se conformer aux différentes réglementations des pays.</w:t>
      </w:r>
      <w:r w:rsidDel="00000000" w:rsidR="00000000" w:rsidRPr="00000000">
        <w:rPr>
          <w:rtl w:val="0"/>
        </w:rPr>
      </w:r>
    </w:p>
    <w:p w:rsidR="00000000" w:rsidDel="00000000" w:rsidP="00000000" w:rsidRDefault="00000000" w:rsidRPr="00000000" w14:paraId="00000009">
      <w:pPr>
        <w:spacing w:after="240" w:before="240" w:lineRule="auto"/>
        <w:jc w:val="both"/>
        <w:rPr>
          <w:b w:val="1"/>
          <w:sz w:val="24"/>
          <w:szCs w:val="24"/>
        </w:rPr>
      </w:pPr>
      <w:r w:rsidDel="00000000" w:rsidR="00000000" w:rsidRPr="00000000">
        <w:rPr>
          <w:b w:val="1"/>
          <w:sz w:val="24"/>
          <w:szCs w:val="24"/>
          <w:rtl w:val="0"/>
        </w:rPr>
        <w:t xml:space="preserve">Plus d’agilité, plus de sécurité, plus d’innovation</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Ces licences représentent un engagement continu pour le Groupe InTouch de proposer des solutions de paiement à ses partenaires à travers un environnement réglementaire sécurisé, tout en conservant son agilité.. En offrant des services financiers accessibles et conformes aux exigences du marché, l’entreprise continue de jouer un rôle clé dans la démocratisation des services financiers en Afrique. </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En plus du respect du cadre réglementaire, InTouch renforce sa conformité aux standards internationaux en matière de cybersécurité et de gestion des paiements. Le Groupe est certifié </w:t>
      </w:r>
      <w:r w:rsidDel="00000000" w:rsidR="00000000" w:rsidRPr="00000000">
        <w:rPr>
          <w:b w:val="1"/>
          <w:sz w:val="24"/>
          <w:szCs w:val="24"/>
          <w:rtl w:val="0"/>
        </w:rPr>
        <w:t xml:space="preserve">ISO/IEC 27001</w:t>
      </w:r>
      <w:r w:rsidDel="00000000" w:rsidR="00000000" w:rsidRPr="00000000">
        <w:rPr>
          <w:sz w:val="24"/>
          <w:szCs w:val="24"/>
          <w:rtl w:val="0"/>
        </w:rPr>
        <w:t xml:space="preserve">, gage d’un système rigoureux de management de la sécurité de l’information, assurant la protection des données sensibles de ses utilisateurs et partenaires. </w:t>
      </w:r>
    </w:p>
    <w:p w:rsidR="00000000" w:rsidDel="00000000" w:rsidP="00000000" w:rsidRDefault="00000000" w:rsidRPr="00000000" w14:paraId="0000000C">
      <w:pPr>
        <w:spacing w:after="240" w:before="240" w:lineRule="auto"/>
        <w:jc w:val="both"/>
        <w:rPr>
          <w:sz w:val="24"/>
          <w:szCs w:val="24"/>
        </w:rPr>
      </w:pPr>
      <w:r w:rsidDel="00000000" w:rsidR="00000000" w:rsidRPr="00000000">
        <w:rPr>
          <w:sz w:val="24"/>
          <w:szCs w:val="24"/>
          <w:rtl w:val="0"/>
        </w:rPr>
        <w:t xml:space="preserve">Elle est également conforme à la norme </w:t>
      </w:r>
      <w:r w:rsidDel="00000000" w:rsidR="00000000" w:rsidRPr="00000000">
        <w:rPr>
          <w:b w:val="1"/>
          <w:sz w:val="24"/>
          <w:szCs w:val="24"/>
          <w:rtl w:val="0"/>
        </w:rPr>
        <w:t xml:space="preserve">PCI DSS</w:t>
      </w:r>
      <w:r w:rsidDel="00000000" w:rsidR="00000000" w:rsidRPr="00000000">
        <w:rPr>
          <w:sz w:val="24"/>
          <w:szCs w:val="24"/>
          <w:rtl w:val="0"/>
        </w:rPr>
        <w:t xml:space="preserve"> (</w:t>
      </w:r>
      <w:r w:rsidDel="00000000" w:rsidR="00000000" w:rsidRPr="00000000">
        <w:rPr>
          <w:i w:val="1"/>
          <w:sz w:val="24"/>
          <w:szCs w:val="24"/>
          <w:rtl w:val="0"/>
        </w:rPr>
        <w:t xml:space="preserve">Payment Card Industry Data Security Standard</w:t>
      </w:r>
      <w:r w:rsidDel="00000000" w:rsidR="00000000" w:rsidRPr="00000000">
        <w:rPr>
          <w:sz w:val="24"/>
          <w:szCs w:val="24"/>
          <w:rtl w:val="0"/>
        </w:rPr>
        <w:t xml:space="preserve">), garantissant un haut niveau de sécurité dans le traitement des données. En tant que </w:t>
      </w:r>
      <w:r w:rsidDel="00000000" w:rsidR="00000000" w:rsidRPr="00000000">
        <w:rPr>
          <w:b w:val="1"/>
          <w:sz w:val="24"/>
          <w:szCs w:val="24"/>
          <w:rtl w:val="0"/>
        </w:rPr>
        <w:t xml:space="preserve">Payment Facilitator (PayFac) agréé par Visa</w:t>
      </w:r>
      <w:r w:rsidDel="00000000" w:rsidR="00000000" w:rsidRPr="00000000">
        <w:rPr>
          <w:sz w:val="24"/>
          <w:szCs w:val="24"/>
          <w:rtl w:val="0"/>
        </w:rPr>
        <w:t xml:space="preserve">, le Groupe InTouch est habilité à accompagner les marchands dans la digitalisation de leurs services de paiement à grande échelle. Ces certifications et agréments témoignent de l’engagement de du Groupe à fournir des solutions conformes aux meilleures pratiques mondiales.  </w:t>
      </w:r>
    </w:p>
    <w:p w:rsidR="00000000" w:rsidDel="00000000" w:rsidP="00000000" w:rsidRDefault="00000000" w:rsidRPr="00000000" w14:paraId="0000000D">
      <w:pPr>
        <w:spacing w:after="240" w:before="240" w:lineRule="auto"/>
        <w:jc w:val="both"/>
        <w:rPr>
          <w:sz w:val="24"/>
          <w:szCs w:val="24"/>
        </w:rPr>
      </w:pPr>
      <w:r w:rsidDel="00000000" w:rsidR="00000000" w:rsidRPr="00000000">
        <w:rPr>
          <w:b w:val="1"/>
          <w:sz w:val="24"/>
          <w:szCs w:val="24"/>
          <w:rtl w:val="0"/>
        </w:rPr>
        <w:t xml:space="preserve">Une nouvelle étape pour le Groupe InTouch</w:t>
      </w:r>
      <w:r w:rsidDel="00000000" w:rsidR="00000000" w:rsidRPr="00000000">
        <w:rPr>
          <w:rtl w:val="0"/>
        </w:rPr>
      </w:r>
    </w:p>
    <w:p w:rsidR="00000000" w:rsidDel="00000000" w:rsidP="00000000" w:rsidRDefault="00000000" w:rsidRPr="00000000" w14:paraId="0000000E">
      <w:pPr>
        <w:spacing w:after="240" w:before="240" w:lineRule="auto"/>
        <w:jc w:val="both"/>
        <w:rPr>
          <w:sz w:val="24"/>
          <w:szCs w:val="24"/>
        </w:rPr>
      </w:pPr>
      <w:r w:rsidDel="00000000" w:rsidR="00000000" w:rsidRPr="00000000">
        <w:rPr>
          <w:sz w:val="24"/>
          <w:szCs w:val="24"/>
          <w:rtl w:val="0"/>
        </w:rPr>
        <w:t xml:space="preserve">Avec une présence dans </w:t>
      </w:r>
      <w:r w:rsidDel="00000000" w:rsidR="00000000" w:rsidRPr="00000000">
        <w:rPr>
          <w:b w:val="1"/>
          <w:sz w:val="24"/>
          <w:szCs w:val="24"/>
          <w:rtl w:val="0"/>
        </w:rPr>
        <w:t xml:space="preserve">27 pays</w:t>
      </w:r>
      <w:r w:rsidDel="00000000" w:rsidR="00000000" w:rsidRPr="00000000">
        <w:rPr>
          <w:sz w:val="24"/>
          <w:szCs w:val="24"/>
          <w:rtl w:val="0"/>
        </w:rPr>
        <w:t xml:space="preserve"> en Afrique, ces agréments marquent une étape capitale, mais ne constituent que le début d’une nouvelle phase de croissance pour le Groupe InTouch. L'entreprise s'engage à renforcer son écosystème et à offrir des solutions toujours plus pertinentes à ses partenaires pour répondre aux besoins d’un marché en perpétuelle évolution.</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Nous tenons à féliciter nos équipes pour leur travail acharné et leur dévouement, ainsi que toutes les parties prenantes, partenaires et clients qui ont contribué à rendre cette vision possible. Ensemble, nous allons continuer à repousser les frontières de l’innovation et à construire l’avenir des paiements en Afrique.</w:t>
      </w:r>
    </w:p>
    <w:p w:rsidR="00000000" w:rsidDel="00000000" w:rsidP="00000000" w:rsidRDefault="00000000" w:rsidRPr="00000000" w14:paraId="00000010">
      <w:pPr>
        <w:spacing w:after="240" w:before="240" w:lineRule="auto"/>
        <w:jc w:val="both"/>
        <w:rPr>
          <w:b w:val="1"/>
          <w:sz w:val="24"/>
          <w:szCs w:val="24"/>
        </w:rPr>
      </w:pPr>
      <w:r w:rsidDel="00000000" w:rsidR="00000000" w:rsidRPr="00000000">
        <w:rPr>
          <w:rFonts w:ascii="Roboto" w:cs="Roboto" w:eastAsia="Roboto" w:hAnsi="Roboto"/>
          <w:b w:val="1"/>
          <w:sz w:val="24"/>
          <w:szCs w:val="24"/>
          <w:highlight w:val="white"/>
          <w:rtl w:val="0"/>
        </w:rPr>
        <w:t xml:space="preserve">InTouch, votre partenaire de confiance pour chaque transaction digitale en Afrique</w:t>
      </w:r>
      <w:r w:rsidDel="00000000" w:rsidR="00000000" w:rsidRPr="00000000">
        <w:rPr>
          <w:rFonts w:ascii="Roboto" w:cs="Roboto" w:eastAsia="Roboto" w:hAnsi="Roboto"/>
          <w:b w:val="1"/>
          <w:sz w:val="24"/>
          <w:szCs w:val="24"/>
          <w:rtl w:val="0"/>
        </w:rPr>
        <w:t xml:space="preserve">.</w:t>
      </w: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2521275</wp:posOffset>
          </wp:positionH>
          <wp:positionV relativeFrom="paragraph">
            <wp:posOffset>636988</wp:posOffset>
          </wp:positionV>
          <wp:extent cx="3205163" cy="857195"/>
          <wp:effectExtent b="0" l="0" r="0" t="0"/>
          <wp:wrapNone/>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05163" cy="8571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3162300</wp:posOffset>
          </wp:positionH>
          <wp:positionV relativeFrom="paragraph">
            <wp:posOffset>-342890</wp:posOffset>
          </wp:positionV>
          <wp:extent cx="3205163" cy="857195"/>
          <wp:effectExtent b="0" l="0" r="0" t="0"/>
          <wp:wrapNone/>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05163" cy="8571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paragraph" w:styleId="En-tte">
    <w:name w:val="header"/>
    <w:basedOn w:val="Normal"/>
    <w:link w:val="En-tteCar"/>
    <w:uiPriority w:val="99"/>
    <w:semiHidden w:val="1"/>
    <w:unhideWhenUsed w:val="1"/>
    <w:rsid w:val="0023059A"/>
    <w:pPr>
      <w:tabs>
        <w:tab w:val="center" w:pos="4680"/>
        <w:tab w:val="right" w:pos="9360"/>
      </w:tabs>
      <w:spacing w:line="240" w:lineRule="auto"/>
    </w:pPr>
  </w:style>
  <w:style w:type="character" w:styleId="En-tteCar" w:customStyle="1">
    <w:name w:val="En-tête Car"/>
    <w:basedOn w:val="Policepardfaut"/>
    <w:link w:val="En-tte"/>
    <w:uiPriority w:val="99"/>
    <w:semiHidden w:val="1"/>
    <w:rsid w:val="0023059A"/>
  </w:style>
  <w:style w:type="paragraph" w:styleId="Pieddepage">
    <w:name w:val="footer"/>
    <w:basedOn w:val="Normal"/>
    <w:link w:val="PieddepageCar"/>
    <w:uiPriority w:val="99"/>
    <w:unhideWhenUsed w:val="1"/>
    <w:rsid w:val="0023059A"/>
    <w:pPr>
      <w:tabs>
        <w:tab w:val="center" w:pos="4680"/>
        <w:tab w:val="right" w:pos="9360"/>
      </w:tabs>
      <w:spacing w:line="240" w:lineRule="auto"/>
    </w:pPr>
  </w:style>
  <w:style w:type="character" w:styleId="PieddepageCar" w:customStyle="1">
    <w:name w:val="Pied de page Car"/>
    <w:basedOn w:val="Policepardfaut"/>
    <w:link w:val="Pieddepage"/>
    <w:uiPriority w:val="99"/>
    <w:rsid w:val="0023059A"/>
  </w:style>
  <w:style w:type="character" w:styleId="Marquedecommentaire">
    <w:name w:val="annotation reference"/>
    <w:basedOn w:val="Policepardfaut"/>
    <w:uiPriority w:val="99"/>
    <w:semiHidden w:val="1"/>
    <w:unhideWhenUsed w:val="1"/>
    <w:rsid w:val="0073289B"/>
    <w:rPr>
      <w:sz w:val="16"/>
      <w:szCs w:val="16"/>
    </w:rPr>
  </w:style>
  <w:style w:type="paragraph" w:styleId="Commentaire">
    <w:name w:val="annotation text"/>
    <w:basedOn w:val="Normal"/>
    <w:link w:val="CommentaireCar"/>
    <w:uiPriority w:val="99"/>
    <w:unhideWhenUsed w:val="1"/>
    <w:rsid w:val="0073289B"/>
    <w:pPr>
      <w:spacing w:line="240" w:lineRule="auto"/>
    </w:pPr>
    <w:rPr>
      <w:sz w:val="20"/>
      <w:szCs w:val="20"/>
    </w:rPr>
  </w:style>
  <w:style w:type="character" w:styleId="CommentaireCar" w:customStyle="1">
    <w:name w:val="Commentaire Car"/>
    <w:basedOn w:val="Policepardfaut"/>
    <w:link w:val="Commentaire"/>
    <w:uiPriority w:val="99"/>
    <w:rsid w:val="0073289B"/>
    <w:rPr>
      <w:sz w:val="20"/>
      <w:szCs w:val="20"/>
    </w:rPr>
  </w:style>
  <w:style w:type="paragraph" w:styleId="Objetducommentaire">
    <w:name w:val="annotation subject"/>
    <w:basedOn w:val="Commentaire"/>
    <w:next w:val="Commentaire"/>
    <w:link w:val="ObjetducommentaireCar"/>
    <w:uiPriority w:val="99"/>
    <w:semiHidden w:val="1"/>
    <w:unhideWhenUsed w:val="1"/>
    <w:rsid w:val="0073289B"/>
    <w:rPr>
      <w:b w:val="1"/>
      <w:bCs w:val="1"/>
    </w:rPr>
  </w:style>
  <w:style w:type="character" w:styleId="ObjetducommentaireCar" w:customStyle="1">
    <w:name w:val="Objet du commentaire Car"/>
    <w:basedOn w:val="CommentaireCar"/>
    <w:link w:val="Objetducommentaire"/>
    <w:uiPriority w:val="99"/>
    <w:semiHidden w:val="1"/>
    <w:rsid w:val="0073289B"/>
    <w:rPr>
      <w:b w:val="1"/>
      <w:bCs w:val="1"/>
      <w:sz w:val="20"/>
      <w:szCs w:val="20"/>
    </w:rPr>
  </w:style>
  <w:style w:type="paragraph" w:styleId="Rvision">
    <w:name w:val="Revision"/>
    <w:hidden w:val="1"/>
    <w:uiPriority w:val="99"/>
    <w:semiHidden w:val="1"/>
    <w:rsid w:val="00A77D6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IHa/3qukvjqLeYeI6croh5gaOg==">CgMxLjA4AHIhMVFlcXJYdnZZRHpsQTU2aUZGeTJxeENHVkdyNmtsLU9m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2025-05-26T16:28:00Z</dcterms:created>
  <dc:creator>Tabara DRAME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82e5260c-622b-4eaf-ba06-51a3b4f50811</vt:lpwstr>
  </property>
</Properties>
</file>